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33974" w:rsidP="005D0621">
            <w:pPr>
              <w:rPr>
                <w:b/>
              </w:rPr>
            </w:pPr>
            <w:r>
              <w:rPr>
                <w:rStyle w:val="Firstpagetablebold"/>
              </w:rPr>
              <w:t>10 April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C21AD5" w:rsidRDefault="00C21AD5" w:rsidP="00A7777C">
            <w:pPr>
              <w:rPr>
                <w:rStyle w:val="Firstpagetablebold"/>
                <w:b w:val="0"/>
              </w:rPr>
            </w:pPr>
            <w:r w:rsidRPr="00C21AD5">
              <w:rPr>
                <w:b/>
                <w:color w:val="auto"/>
              </w:rPr>
              <w:t>Transition Director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33974" w:rsidRDefault="00933974" w:rsidP="004A6D2F">
            <w:pPr>
              <w:rPr>
                <w:rStyle w:val="Firstpagetablebold"/>
                <w:color w:val="auto"/>
              </w:rPr>
            </w:pPr>
            <w:r w:rsidRPr="00933974">
              <w:rPr>
                <w:color w:val="auto"/>
              </w:rPr>
              <w:t>Implementation of an Electric Vehicle Strategy with Associated Infrastructure to support Targeted Improvement of Air Quality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5"/>
        <w:gridCol w:w="2015"/>
        <w:gridCol w:w="6509"/>
      </w:tblGrid>
      <w:tr w:rsidR="00D5547E" w:rsidTr="00AF6685">
        <w:trPr>
          <w:trHeight w:val="271"/>
        </w:trPr>
        <w:tc>
          <w:tcPr>
            <w:tcW w:w="8789"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F6685">
        <w:trPr>
          <w:trHeight w:val="839"/>
        </w:trPr>
        <w:tc>
          <w:tcPr>
            <w:tcW w:w="2280"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509" w:type="dxa"/>
            <w:tcBorders>
              <w:top w:val="single" w:sz="8" w:space="0" w:color="000000"/>
              <w:left w:val="nil"/>
              <w:bottom w:val="nil"/>
              <w:right w:val="single" w:sz="8" w:space="0" w:color="000000"/>
            </w:tcBorders>
            <w:hideMark/>
          </w:tcPr>
          <w:p w:rsidR="00D5547E" w:rsidRPr="001356F1" w:rsidRDefault="00E775BA" w:rsidP="00E775BA">
            <w:r>
              <w:rPr>
                <w:color w:val="auto"/>
              </w:rPr>
              <w:t xml:space="preserve">To propose entering into </w:t>
            </w:r>
            <w:proofErr w:type="gramStart"/>
            <w:r>
              <w:rPr>
                <w:color w:val="auto"/>
              </w:rPr>
              <w:t>a</w:t>
            </w:r>
            <w:r w:rsidRPr="00E775BA">
              <w:rPr>
                <w:color w:val="auto"/>
              </w:rPr>
              <w:t xml:space="preserve"> collaboration</w:t>
            </w:r>
            <w:proofErr w:type="gramEnd"/>
            <w:r w:rsidRPr="00E775BA">
              <w:rPr>
                <w:color w:val="auto"/>
              </w:rPr>
              <w:t xml:space="preserve"> agreement</w:t>
            </w:r>
            <w:r>
              <w:rPr>
                <w:color w:val="auto"/>
              </w:rPr>
              <w:t>, in respect of</w:t>
            </w:r>
            <w:r w:rsidRPr="00E775BA">
              <w:rPr>
                <w:color w:val="auto"/>
              </w:rPr>
              <w:t xml:space="preserve"> an Innovate UK funded project that supports</w:t>
            </w:r>
            <w:r>
              <w:rPr>
                <w:color w:val="auto"/>
              </w:rPr>
              <w:t xml:space="preserve"> the</w:t>
            </w:r>
            <w:r w:rsidR="00933974" w:rsidRPr="00AE66E3">
              <w:rPr>
                <w:color w:val="auto"/>
              </w:rPr>
              <w:t xml:space="preserve"> City Council’s plans for Electric Vehicle charging and </w:t>
            </w:r>
            <w:r w:rsidR="00FC2863" w:rsidRPr="00AE66E3">
              <w:rPr>
                <w:color w:val="auto"/>
              </w:rPr>
              <w:t>associated infrastructure</w:t>
            </w:r>
            <w:r>
              <w:rPr>
                <w:color w:val="auto"/>
              </w:rPr>
              <w:t xml:space="preserve">. </w:t>
            </w:r>
          </w:p>
        </w:tc>
      </w:tr>
      <w:tr w:rsidR="00D5547E" w:rsidTr="00AF6685">
        <w:trPr>
          <w:trHeight w:val="271"/>
        </w:trPr>
        <w:tc>
          <w:tcPr>
            <w:tcW w:w="228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509"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AF6685">
        <w:trPr>
          <w:trHeight w:val="455"/>
        </w:trPr>
        <w:tc>
          <w:tcPr>
            <w:tcW w:w="228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509" w:type="dxa"/>
            <w:tcBorders>
              <w:top w:val="nil"/>
              <w:left w:val="nil"/>
              <w:bottom w:val="nil"/>
              <w:right w:val="single" w:sz="8" w:space="0" w:color="000000"/>
            </w:tcBorders>
            <w:hideMark/>
          </w:tcPr>
          <w:p w:rsidR="00D5547E" w:rsidRPr="001356F1" w:rsidRDefault="00933974" w:rsidP="005F7F7E">
            <w:r>
              <w:t xml:space="preserve">Councillor Tom Hayes, Executive Board Member for Safer and Greener City. </w:t>
            </w:r>
          </w:p>
        </w:tc>
      </w:tr>
      <w:tr w:rsidR="0080749A" w:rsidTr="00AF6685">
        <w:trPr>
          <w:trHeight w:val="463"/>
        </w:trPr>
        <w:tc>
          <w:tcPr>
            <w:tcW w:w="2280"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509" w:type="dxa"/>
            <w:tcBorders>
              <w:top w:val="nil"/>
              <w:left w:val="nil"/>
              <w:bottom w:val="nil"/>
              <w:right w:val="single" w:sz="8" w:space="0" w:color="000000"/>
            </w:tcBorders>
          </w:tcPr>
          <w:p w:rsidR="0080749A" w:rsidRPr="001356F1" w:rsidRDefault="00933974" w:rsidP="005F7F7E">
            <w:r>
              <w:t xml:space="preserve">Vibrant and Sustainable Economy, </w:t>
            </w:r>
            <w:r w:rsidRPr="008706FD">
              <w:t>Clean and Green Oxford</w:t>
            </w:r>
          </w:p>
        </w:tc>
      </w:tr>
      <w:tr w:rsidR="00D5547E" w:rsidTr="00AF6685">
        <w:trPr>
          <w:trHeight w:val="271"/>
        </w:trPr>
        <w:tc>
          <w:tcPr>
            <w:tcW w:w="228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509" w:type="dxa"/>
            <w:tcBorders>
              <w:top w:val="nil"/>
              <w:left w:val="nil"/>
              <w:bottom w:val="nil"/>
              <w:right w:val="single" w:sz="8" w:space="0" w:color="000000"/>
            </w:tcBorders>
            <w:hideMark/>
          </w:tcPr>
          <w:p w:rsidR="00D5547E" w:rsidRPr="001356F1" w:rsidRDefault="00933974" w:rsidP="005F7F7E">
            <w:r>
              <w:t>Corporate Plan and Budget</w:t>
            </w:r>
            <w:r w:rsidR="00B36CCA">
              <w:t>. Low Emissions Stra</w:t>
            </w:r>
            <w:r w:rsidR="00A803E8">
              <w:t>te</w:t>
            </w:r>
            <w:r w:rsidR="00B36CCA">
              <w:t>gy</w:t>
            </w:r>
          </w:p>
        </w:tc>
      </w:tr>
      <w:tr w:rsidR="005F7F7E" w:rsidRPr="00975B07" w:rsidTr="00AF6685">
        <w:trPr>
          <w:trHeight w:val="283"/>
        </w:trPr>
        <w:tc>
          <w:tcPr>
            <w:tcW w:w="8789" w:type="dxa"/>
            <w:gridSpan w:val="3"/>
            <w:tcBorders>
              <w:bottom w:val="single" w:sz="8" w:space="0" w:color="000000"/>
            </w:tcBorders>
          </w:tcPr>
          <w:p w:rsidR="005F7F7E" w:rsidRPr="00975B07" w:rsidRDefault="00125169" w:rsidP="00125169">
            <w:r>
              <w:rPr>
                <w:rStyle w:val="Firstpagetablebold"/>
              </w:rPr>
              <w:t>Recommendation</w:t>
            </w:r>
            <w:r w:rsidR="005F7F7E">
              <w:rPr>
                <w:rStyle w:val="Firstpagetablebold"/>
              </w:rPr>
              <w:t>s:</w:t>
            </w:r>
            <w:r w:rsidR="00702DDF">
              <w:rPr>
                <w:rStyle w:val="Firstpagetablebold"/>
              </w:rPr>
              <w:t xml:space="preserve"> </w:t>
            </w:r>
            <w:r w:rsidR="005F7F7E" w:rsidRPr="00125169">
              <w:rPr>
                <w:rStyle w:val="Firstpagetablebold"/>
                <w:b w:val="0"/>
              </w:rPr>
              <w:t>That the City Executive Board resolves to:</w:t>
            </w:r>
          </w:p>
        </w:tc>
      </w:tr>
      <w:tr w:rsidR="0030208D" w:rsidRPr="00975B07" w:rsidTr="00AF6685">
        <w:trPr>
          <w:trHeight w:val="194"/>
        </w:trPr>
        <w:tc>
          <w:tcPr>
            <w:tcW w:w="265"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524" w:type="dxa"/>
            <w:gridSpan w:val="2"/>
            <w:tcBorders>
              <w:top w:val="single" w:sz="8" w:space="0" w:color="000000"/>
              <w:left w:val="nil"/>
              <w:bottom w:val="nil"/>
              <w:right w:val="single" w:sz="8" w:space="0" w:color="000000"/>
            </w:tcBorders>
            <w:shd w:val="clear" w:color="auto" w:fill="auto"/>
          </w:tcPr>
          <w:p w:rsidR="0030208D" w:rsidRPr="00B36CCA" w:rsidRDefault="00B36CCA" w:rsidP="00A17E3A">
            <w:pPr>
              <w:jc w:val="both"/>
              <w:rPr>
                <w:b/>
              </w:rPr>
            </w:pPr>
            <w:r w:rsidRPr="0082371D">
              <w:rPr>
                <w:rStyle w:val="Firstpagetablebold"/>
              </w:rPr>
              <w:t>Grant</w:t>
            </w:r>
            <w:r w:rsidRPr="00B36CCA">
              <w:rPr>
                <w:rStyle w:val="Firstpagetablebold"/>
                <w:b w:val="0"/>
              </w:rPr>
              <w:t xml:space="preserve"> </w:t>
            </w:r>
            <w:r w:rsidR="00811569">
              <w:rPr>
                <w:rStyle w:val="Firstpagetablebold"/>
                <w:b w:val="0"/>
              </w:rPr>
              <w:t xml:space="preserve">project </w:t>
            </w:r>
            <w:r w:rsidRPr="00B36CCA">
              <w:rPr>
                <w:rStyle w:val="Firstpagetablebold"/>
                <w:b w:val="0"/>
              </w:rPr>
              <w:t xml:space="preserve">approval for the </w:t>
            </w:r>
            <w:r w:rsidR="0082371D">
              <w:rPr>
                <w:rStyle w:val="Firstpagetablebold"/>
                <w:b w:val="0"/>
              </w:rPr>
              <w:t xml:space="preserve">Energy </w:t>
            </w:r>
            <w:proofErr w:type="spellStart"/>
            <w:r w:rsidR="0082371D">
              <w:rPr>
                <w:rStyle w:val="Firstpagetablebold"/>
                <w:b w:val="0"/>
              </w:rPr>
              <w:t>Superhub</w:t>
            </w:r>
            <w:proofErr w:type="spellEnd"/>
            <w:r w:rsidR="0082371D">
              <w:rPr>
                <w:rStyle w:val="Firstpagetablebold"/>
                <w:b w:val="0"/>
              </w:rPr>
              <w:t xml:space="preserve"> Oxford</w:t>
            </w:r>
            <w:r w:rsidR="00A803E8">
              <w:rPr>
                <w:rStyle w:val="Firstpagetablebold"/>
                <w:b w:val="0"/>
              </w:rPr>
              <w:t xml:space="preserve"> </w:t>
            </w:r>
            <w:r>
              <w:rPr>
                <w:rStyle w:val="Firstpagetablebold"/>
                <w:b w:val="0"/>
              </w:rPr>
              <w:t>project</w:t>
            </w:r>
            <w:r w:rsidR="0058195D">
              <w:rPr>
                <w:rStyle w:val="Firstpagetablebold"/>
                <w:b w:val="0"/>
              </w:rPr>
              <w:t xml:space="preserve"> </w:t>
            </w:r>
            <w:r w:rsidR="00A31B44">
              <w:rPr>
                <w:rStyle w:val="Firstpagetablebold"/>
                <w:b w:val="0"/>
              </w:rPr>
              <w:t>and authorise officers to take appropriate steps to deliver the scheme</w:t>
            </w:r>
            <w:r w:rsidR="00125169">
              <w:rPr>
                <w:rStyle w:val="Firstpagetablebold"/>
                <w:b w:val="0"/>
              </w:rPr>
              <w:t>;</w:t>
            </w:r>
          </w:p>
        </w:tc>
      </w:tr>
      <w:tr w:rsidR="00FC2863" w:rsidRPr="00975B07" w:rsidTr="00125169">
        <w:trPr>
          <w:trHeight w:val="194"/>
        </w:trPr>
        <w:tc>
          <w:tcPr>
            <w:tcW w:w="265" w:type="dxa"/>
            <w:tcBorders>
              <w:top w:val="nil"/>
              <w:left w:val="single" w:sz="8" w:space="0" w:color="000000"/>
              <w:bottom w:val="nil"/>
              <w:right w:val="nil"/>
            </w:tcBorders>
          </w:tcPr>
          <w:p w:rsidR="00FC2863" w:rsidRPr="00975B07" w:rsidRDefault="00FC2863" w:rsidP="00A31B44">
            <w:r w:rsidRPr="00975B07">
              <w:t>2</w:t>
            </w:r>
          </w:p>
        </w:tc>
        <w:tc>
          <w:tcPr>
            <w:tcW w:w="8524" w:type="dxa"/>
            <w:gridSpan w:val="2"/>
            <w:tcBorders>
              <w:top w:val="nil"/>
              <w:left w:val="nil"/>
              <w:bottom w:val="nil"/>
              <w:right w:val="single" w:sz="8" w:space="0" w:color="000000"/>
            </w:tcBorders>
            <w:shd w:val="clear" w:color="auto" w:fill="auto"/>
          </w:tcPr>
          <w:p w:rsidR="00FC2863" w:rsidRPr="001356F1" w:rsidRDefault="0082371D" w:rsidP="007B37C5">
            <w:pPr>
              <w:jc w:val="both"/>
            </w:pPr>
            <w:r>
              <w:rPr>
                <w:b/>
                <w:color w:val="auto"/>
              </w:rPr>
              <w:t>Delegate</w:t>
            </w:r>
            <w:r w:rsidRPr="00AE66E3">
              <w:rPr>
                <w:color w:val="auto"/>
              </w:rPr>
              <w:t xml:space="preserve"> </w:t>
            </w:r>
            <w:r>
              <w:rPr>
                <w:color w:val="auto"/>
              </w:rPr>
              <w:t xml:space="preserve">authority </w:t>
            </w:r>
            <w:r w:rsidRPr="00AE66E3">
              <w:rPr>
                <w:color w:val="auto"/>
              </w:rPr>
              <w:t xml:space="preserve">to the </w:t>
            </w:r>
            <w:r>
              <w:rPr>
                <w:color w:val="auto"/>
              </w:rPr>
              <w:t>Transition</w:t>
            </w:r>
            <w:r w:rsidRPr="00AE66E3">
              <w:rPr>
                <w:color w:val="auto"/>
              </w:rPr>
              <w:t xml:space="preserve"> Director</w:t>
            </w:r>
            <w:r w:rsidR="00A31B44">
              <w:rPr>
                <w:color w:val="auto"/>
              </w:rPr>
              <w:t xml:space="preserve">, in consultation with the </w:t>
            </w:r>
            <w:r w:rsidRPr="00AE66E3">
              <w:rPr>
                <w:color w:val="auto"/>
              </w:rPr>
              <w:t xml:space="preserve">Heads of Finance and Law and Governance, to </w:t>
            </w:r>
            <w:r>
              <w:t>enter into a</w:t>
            </w:r>
            <w:r w:rsidR="007B37C5">
              <w:t xml:space="preserve"> collaboration agreement with the Council’s </w:t>
            </w:r>
            <w:r>
              <w:t xml:space="preserve"> bid partners to secure</w:t>
            </w:r>
            <w:r w:rsidR="00811569">
              <w:t xml:space="preserve"> </w:t>
            </w:r>
            <w:r>
              <w:t>the grant funding for the scheme</w:t>
            </w:r>
            <w:r w:rsidR="00A31B44">
              <w:t xml:space="preserve"> from Innovate UK</w:t>
            </w:r>
            <w:r w:rsidR="00811569">
              <w:t>, to appoint the Council a</w:t>
            </w:r>
            <w:r w:rsidR="00050BEC">
              <w:t>s</w:t>
            </w:r>
            <w:r w:rsidR="00811569">
              <w:t xml:space="preserve"> the Accountable Body for the Scheme, and under which the Council would itself recei</w:t>
            </w:r>
            <w:r w:rsidR="00125169">
              <w:t>ve grant funding for the scheme; and</w:t>
            </w:r>
            <w:r>
              <w:t xml:space="preserve"> </w:t>
            </w:r>
          </w:p>
        </w:tc>
      </w:tr>
      <w:tr w:rsidR="00FC2863" w:rsidRPr="00975B07" w:rsidTr="00125169">
        <w:trPr>
          <w:trHeight w:val="194"/>
        </w:trPr>
        <w:tc>
          <w:tcPr>
            <w:tcW w:w="265" w:type="dxa"/>
            <w:tcBorders>
              <w:top w:val="nil"/>
              <w:left w:val="single" w:sz="8" w:space="0" w:color="000000"/>
              <w:bottom w:val="single" w:sz="4" w:space="0" w:color="auto"/>
              <w:right w:val="nil"/>
            </w:tcBorders>
          </w:tcPr>
          <w:p w:rsidR="00FC2863" w:rsidRPr="00975B07" w:rsidRDefault="00FC2863" w:rsidP="00A31B44">
            <w:r w:rsidRPr="00975B07">
              <w:t>3</w:t>
            </w:r>
          </w:p>
        </w:tc>
        <w:tc>
          <w:tcPr>
            <w:tcW w:w="8524" w:type="dxa"/>
            <w:gridSpan w:val="2"/>
            <w:tcBorders>
              <w:top w:val="nil"/>
              <w:left w:val="nil"/>
              <w:bottom w:val="single" w:sz="4" w:space="0" w:color="auto"/>
              <w:right w:val="single" w:sz="8" w:space="0" w:color="000000"/>
            </w:tcBorders>
            <w:shd w:val="clear" w:color="auto" w:fill="auto"/>
          </w:tcPr>
          <w:p w:rsidR="00FC2863" w:rsidRPr="001356F1" w:rsidRDefault="0082371D" w:rsidP="00702DDF">
            <w:pPr>
              <w:jc w:val="both"/>
            </w:pPr>
            <w:r>
              <w:rPr>
                <w:rStyle w:val="Firstpagetablebold"/>
                <w:rFonts w:eastAsiaTheme="majorEastAsia"/>
              </w:rPr>
              <w:t>Delegate</w:t>
            </w:r>
            <w:r>
              <w:t xml:space="preserve"> authority to the Transition Director, in consultation with the Heads of Finance an</w:t>
            </w:r>
            <w:r w:rsidR="00811569">
              <w:t>d Law and Governance, to negotiate</w:t>
            </w:r>
            <w:r>
              <w:t xml:space="preserve"> and award any </w:t>
            </w:r>
            <w:r w:rsidR="00811569">
              <w:t xml:space="preserve">further </w:t>
            </w:r>
            <w:r>
              <w:t>contracts that are necessary for the successful delivery of the project</w:t>
            </w:r>
            <w:r w:rsidR="00F342DB">
              <w:t xml:space="preserve"> </w:t>
            </w:r>
          </w:p>
        </w:tc>
      </w:tr>
    </w:tbl>
    <w:p w:rsidR="00CE544A" w:rsidRPr="00AF6685" w:rsidRDefault="00CE544A" w:rsidP="004A6D2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F6685">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64007D" w:rsidP="004A6D2F">
            <w:r>
              <w:t>Risk Register</w:t>
            </w:r>
          </w:p>
        </w:tc>
      </w:tr>
    </w:tbl>
    <w:p w:rsidR="00A7777C" w:rsidRDefault="00A7777C" w:rsidP="00222A4B">
      <w:pPr>
        <w:pStyle w:val="Heading1"/>
      </w:pPr>
    </w:p>
    <w:p w:rsidR="0040736F" w:rsidRPr="001356F1" w:rsidRDefault="00F66DCA" w:rsidP="00222A4B">
      <w:pPr>
        <w:pStyle w:val="Heading1"/>
      </w:pPr>
      <w:r w:rsidRPr="001356F1">
        <w:lastRenderedPageBreak/>
        <w:t>Introduction</w:t>
      </w:r>
      <w:r w:rsidR="00404032" w:rsidRPr="001356F1">
        <w:t xml:space="preserve"> </w:t>
      </w:r>
    </w:p>
    <w:p w:rsidR="00AF6685" w:rsidRDefault="00AF6685" w:rsidP="00FF2D64">
      <w:pPr>
        <w:pStyle w:val="ListParagraph"/>
        <w:numPr>
          <w:ilvl w:val="0"/>
          <w:numId w:val="8"/>
        </w:numPr>
        <w:jc w:val="both"/>
      </w:pPr>
      <w:r>
        <w:t>As part of Oxford City Council’s</w:t>
      </w:r>
      <w:r w:rsidR="00C21AD5">
        <w:t xml:space="preserve"> (OCC)</w:t>
      </w:r>
      <w:r>
        <w:t xml:space="preserve"> journey to zero emissions and zero Carbon, OCC is a bid partner of a multi-million pound prototype project ca</w:t>
      </w:r>
      <w:r w:rsidR="00FD788A">
        <w:t xml:space="preserve">lled the Energy </w:t>
      </w:r>
      <w:proofErr w:type="spellStart"/>
      <w:r w:rsidR="00FD788A">
        <w:t>Superhub</w:t>
      </w:r>
      <w:proofErr w:type="spellEnd"/>
      <w:r w:rsidR="00FD788A">
        <w:t xml:space="preserve"> Oxford, </w:t>
      </w:r>
      <w:r>
        <w:t xml:space="preserve">which has successfully secured £10.26m R&amp;D funding from Innovate UK. </w:t>
      </w:r>
      <w:r w:rsidR="007B37C5">
        <w:t xml:space="preserve">OCC </w:t>
      </w:r>
      <w:r>
        <w:t>is to receive £</w:t>
      </w:r>
      <w:proofErr w:type="gramStart"/>
      <w:r>
        <w:t>1.62m,</w:t>
      </w:r>
      <w:proofErr w:type="gramEnd"/>
      <w:r>
        <w:t xml:space="preserve"> the total value of the project is circa £40m. The remaining funding is provided by Private Equity funding.</w:t>
      </w:r>
    </w:p>
    <w:p w:rsidR="00AF6685" w:rsidRDefault="00C21AD5" w:rsidP="00FF2D64">
      <w:pPr>
        <w:pStyle w:val="ListParagraph"/>
        <w:numPr>
          <w:ilvl w:val="0"/>
          <w:numId w:val="8"/>
        </w:numPr>
        <w:jc w:val="both"/>
      </w:pPr>
      <w:r>
        <w:t xml:space="preserve">The </w:t>
      </w:r>
      <w:r w:rsidR="00121FFF">
        <w:t xml:space="preserve">Energy </w:t>
      </w:r>
      <w:proofErr w:type="spellStart"/>
      <w:r w:rsidR="00121FFF">
        <w:t>Superhub</w:t>
      </w:r>
      <w:proofErr w:type="spellEnd"/>
      <w:r w:rsidR="00121FFF">
        <w:t xml:space="preserve"> Oxford (ESO) is a multi-million pound prototype project. It is a collaboration of partners, providing installation of a large battery directly connected to a National Grid substation</w:t>
      </w:r>
      <w:r w:rsidR="004B42EA">
        <w:t xml:space="preserve">. The battery will use </w:t>
      </w:r>
      <w:r w:rsidR="000D5463">
        <w:t xml:space="preserve">specific software </w:t>
      </w:r>
      <w:r w:rsidR="004B42EA">
        <w:t xml:space="preserve">to store and </w:t>
      </w:r>
      <w:r w:rsidR="00121FFF">
        <w:t>re-supply electricity back to the grid</w:t>
      </w:r>
      <w:r w:rsidR="00375E67">
        <w:t xml:space="preserve"> </w:t>
      </w:r>
      <w:r w:rsidR="004B42EA">
        <w:t>(</w:t>
      </w:r>
      <w:r>
        <w:t>t</w:t>
      </w:r>
      <w:r w:rsidR="000D5463">
        <w:t>he battery works by storing electricity at</w:t>
      </w:r>
      <w:r w:rsidR="004B42EA">
        <w:t xml:space="preserve"> low demand and re-supp</w:t>
      </w:r>
      <w:r w:rsidR="00AF6685">
        <w:t>ly</w:t>
      </w:r>
      <w:r w:rsidR="004B42EA">
        <w:t>i</w:t>
      </w:r>
      <w:r w:rsidR="000D5463">
        <w:t>ng</w:t>
      </w:r>
      <w:r w:rsidR="004B42EA">
        <w:t xml:space="preserve"> at </w:t>
      </w:r>
      <w:r w:rsidR="000D5463">
        <w:t>peak</w:t>
      </w:r>
      <w:r w:rsidR="004B42EA">
        <w:t xml:space="preserve"> demand). This </w:t>
      </w:r>
      <w:r w:rsidR="00121FFF">
        <w:t xml:space="preserve">methodology will also be utilised to provide cheaper electric for heat pump use. Direct cabling connection to the substation will bypass usual electric distribution network constraints, allowing provision of high electrical capacity for ultra-fast &amp; rapid EV charging. </w:t>
      </w:r>
    </w:p>
    <w:p w:rsidR="00CC292A" w:rsidRDefault="00CC292A" w:rsidP="00CC292A">
      <w:pPr>
        <w:pStyle w:val="ListParagraph"/>
        <w:numPr>
          <w:ilvl w:val="0"/>
          <w:numId w:val="0"/>
        </w:numPr>
        <w:ind w:left="720"/>
        <w:jc w:val="both"/>
      </w:pPr>
    </w:p>
    <w:p w:rsidR="00AF6685" w:rsidRPr="00222A4B" w:rsidRDefault="00AF6685" w:rsidP="00222A4B">
      <w:pPr>
        <w:ind w:left="360"/>
        <w:jc w:val="both"/>
        <w:rPr>
          <w:b/>
        </w:rPr>
      </w:pPr>
      <w:r w:rsidRPr="00222A4B">
        <w:rPr>
          <w:b/>
        </w:rPr>
        <w:t>Background</w:t>
      </w:r>
    </w:p>
    <w:p w:rsidR="00AF6685" w:rsidRPr="00CC292A" w:rsidRDefault="00AF6685" w:rsidP="00CC292A">
      <w:pPr>
        <w:pStyle w:val="ListParagraph"/>
        <w:numPr>
          <w:ilvl w:val="0"/>
          <w:numId w:val="8"/>
        </w:numPr>
        <w:jc w:val="both"/>
        <w:rPr>
          <w:rFonts w:eastAsia="Arial Unicode MS" w:cs="Arial Unicode MS"/>
          <w:u w:color="000000"/>
          <w:lang w:val="en-US"/>
        </w:rPr>
      </w:pPr>
      <w:r w:rsidRPr="00222A4B">
        <w:rPr>
          <w:rFonts w:eastAsia="Arial Unicode MS" w:cs="Arial Unicode MS"/>
          <w:u w:color="000000"/>
          <w:lang w:val="en-US"/>
        </w:rPr>
        <w:t xml:space="preserve">There is no safe level of air pollution. A 2016 report from the Royal College of Physicians and the Royal College of </w:t>
      </w:r>
      <w:proofErr w:type="spellStart"/>
      <w:r w:rsidRPr="00222A4B">
        <w:rPr>
          <w:rFonts w:eastAsia="Arial Unicode MS" w:cs="Arial Unicode MS"/>
          <w:u w:color="000000"/>
          <w:lang w:val="en-US"/>
        </w:rPr>
        <w:t>Paediatrics</w:t>
      </w:r>
      <w:proofErr w:type="spellEnd"/>
      <w:r w:rsidRPr="00222A4B">
        <w:rPr>
          <w:rFonts w:eastAsia="Arial Unicode MS" w:cs="Arial Unicode MS"/>
          <w:u w:color="000000"/>
          <w:lang w:val="en-US"/>
        </w:rPr>
        <w:t xml:space="preserve"> and Child Health found that outside air pollution – of which about 75% comes from road transportation – cuts short 40,000 lives a year in the UK. </w:t>
      </w:r>
    </w:p>
    <w:p w:rsidR="00AF6685" w:rsidRPr="00CC292A" w:rsidRDefault="00AF6685" w:rsidP="00CC292A">
      <w:pPr>
        <w:pStyle w:val="ListParagraph"/>
        <w:numPr>
          <w:ilvl w:val="0"/>
          <w:numId w:val="8"/>
        </w:numPr>
        <w:jc w:val="both"/>
        <w:rPr>
          <w:rFonts w:eastAsia="Arial Unicode MS" w:cs="Arial Unicode MS"/>
          <w:u w:color="000000"/>
          <w:lang w:val="en-US"/>
        </w:rPr>
      </w:pPr>
      <w:r w:rsidRPr="00222A4B">
        <w:rPr>
          <w:rFonts w:eastAsia="Arial Unicode MS" w:cs="Arial Unicode MS"/>
          <w:u w:color="000000"/>
          <w:lang w:val="en-US"/>
        </w:rPr>
        <w:t xml:space="preserve">Oxford has seen a large reduction in air pollution levels following the introduction of ultra-low emission buses, however there is further action to take on air pollution.  Following 15 months of extensive consultation </w:t>
      </w:r>
      <w:r w:rsidR="007B37C5">
        <w:rPr>
          <w:rFonts w:eastAsia="Arial Unicode MS" w:cs="Arial Unicode MS"/>
          <w:u w:color="000000"/>
          <w:lang w:val="en-US"/>
        </w:rPr>
        <w:t>OCC</w:t>
      </w:r>
      <w:r w:rsidRPr="00222A4B">
        <w:rPr>
          <w:rFonts w:eastAsia="Arial Unicode MS" w:cs="Arial Unicode MS"/>
          <w:u w:color="000000"/>
          <w:lang w:val="en-US"/>
        </w:rPr>
        <w:t xml:space="preserve"> and </w:t>
      </w:r>
      <w:proofErr w:type="spellStart"/>
      <w:r w:rsidRPr="00222A4B">
        <w:rPr>
          <w:rFonts w:eastAsia="Arial Unicode MS" w:cs="Arial Unicode MS"/>
          <w:u w:color="000000"/>
          <w:lang w:val="en-US"/>
        </w:rPr>
        <w:t>Oxfordshire</w:t>
      </w:r>
      <w:proofErr w:type="spellEnd"/>
      <w:r w:rsidRPr="00222A4B">
        <w:rPr>
          <w:rFonts w:eastAsia="Arial Unicode MS" w:cs="Arial Unicode MS"/>
          <w:u w:color="000000"/>
          <w:lang w:val="en-US"/>
        </w:rPr>
        <w:t xml:space="preserve"> County Council have set a journey to zero transport emissions in Oxford by publishing updated proposals for a Zero Emission Zone (ZEZ).  </w:t>
      </w:r>
    </w:p>
    <w:p w:rsidR="00AF6685" w:rsidRPr="00CC292A" w:rsidRDefault="007B37C5" w:rsidP="00CC292A">
      <w:pPr>
        <w:pStyle w:val="ListParagraph"/>
        <w:numPr>
          <w:ilvl w:val="0"/>
          <w:numId w:val="8"/>
        </w:numPr>
        <w:jc w:val="both"/>
        <w:rPr>
          <w:rFonts w:eastAsia="Arial Unicode MS" w:cs="Arial Unicode MS"/>
          <w:color w:val="auto"/>
          <w:u w:color="000000"/>
          <w:lang w:val="en-US"/>
        </w:rPr>
      </w:pPr>
      <w:r>
        <w:rPr>
          <w:rFonts w:eastAsia="Arial Unicode MS" w:cs="Arial Unicode MS"/>
          <w:color w:val="auto"/>
          <w:u w:color="000000"/>
          <w:lang w:val="en-US"/>
        </w:rPr>
        <w:t xml:space="preserve">OCC </w:t>
      </w:r>
      <w:r w:rsidR="00AF6685" w:rsidRPr="00222A4B">
        <w:rPr>
          <w:rFonts w:eastAsia="Arial Unicode MS" w:cs="Arial Unicode MS"/>
          <w:color w:val="auto"/>
          <w:u w:color="000000"/>
          <w:lang w:val="en-US"/>
        </w:rPr>
        <w:t xml:space="preserve">has secured £3.25m in grant funding to enable practical implementation of the ZEZ:  </w:t>
      </w:r>
      <w:hyperlink r:id="rId9" w:history="1">
        <w:r w:rsidR="00AF6685" w:rsidRPr="00222A4B">
          <w:rPr>
            <w:rFonts w:eastAsia="Arial Unicode MS" w:cs="Arial Unicode MS"/>
            <w:color w:val="auto"/>
            <w:u w:color="000000"/>
            <w:lang w:val="en-US"/>
          </w:rPr>
          <w:t>£1.7m to upgrade buses to be ultra-low emission or fully electric</w:t>
        </w:r>
      </w:hyperlink>
      <w:r w:rsidR="00AF6685" w:rsidRPr="00222A4B">
        <w:rPr>
          <w:rFonts w:eastAsia="Arial Unicode MS" w:cs="Arial Unicode MS"/>
          <w:color w:val="auto"/>
          <w:u w:color="000000"/>
          <w:lang w:val="en-US"/>
        </w:rPr>
        <w:t xml:space="preserve">; </w:t>
      </w:r>
      <w:hyperlink r:id="rId10" w:history="1">
        <w:r w:rsidR="00AF6685" w:rsidRPr="00222A4B">
          <w:rPr>
            <w:rFonts w:eastAsia="Arial Unicode MS" w:cs="Arial Unicode MS"/>
            <w:color w:val="auto"/>
            <w:u w:color="000000"/>
            <w:lang w:val="en-US"/>
          </w:rPr>
          <w:t>£800,000 to install electric vehicle charging points for residents with on-street parking</w:t>
        </w:r>
      </w:hyperlink>
      <w:r w:rsidR="00AF6685" w:rsidRPr="00222A4B">
        <w:rPr>
          <w:rFonts w:eastAsia="Arial Unicode MS" w:cs="Arial Unicode MS"/>
          <w:color w:val="auto"/>
          <w:u w:color="000000"/>
          <w:lang w:val="en-US"/>
        </w:rPr>
        <w:t xml:space="preserve">; </w:t>
      </w:r>
      <w:hyperlink r:id="rId11" w:history="1">
        <w:r w:rsidR="00AF6685" w:rsidRPr="00222A4B">
          <w:rPr>
            <w:rFonts w:eastAsia="Arial Unicode MS" w:cs="Arial Unicode MS"/>
            <w:color w:val="auto"/>
            <w:u w:color="000000"/>
            <w:lang w:val="en-US"/>
          </w:rPr>
          <w:t>£500,000 to install charging points for taxi owners and operators</w:t>
        </w:r>
      </w:hyperlink>
      <w:r w:rsidR="00AF6685" w:rsidRPr="00222A4B">
        <w:rPr>
          <w:rFonts w:eastAsia="Arial Unicode MS" w:cs="Arial Unicode MS"/>
          <w:color w:val="auto"/>
          <w:u w:color="000000"/>
          <w:lang w:val="en-US"/>
        </w:rPr>
        <w:t>. Oxford has also received </w:t>
      </w:r>
      <w:hyperlink r:id="rId12" w:history="1">
        <w:r w:rsidR="00AF6685" w:rsidRPr="00222A4B">
          <w:rPr>
            <w:rFonts w:eastAsia="Arial Unicode MS" w:cs="Arial Unicode MS"/>
            <w:color w:val="auto"/>
            <w:u w:color="000000"/>
            <w:lang w:val="en-US"/>
          </w:rPr>
          <w:t>£474,000 of Government funding to introduce the world’s first pop-up electric vehicle charging points</w:t>
        </w:r>
      </w:hyperlink>
      <w:r w:rsidR="00AF6685" w:rsidRPr="00222A4B">
        <w:rPr>
          <w:rFonts w:eastAsia="Arial Unicode MS" w:cs="Arial Unicode MS"/>
          <w:color w:val="auto"/>
          <w:u w:color="000000"/>
          <w:lang w:val="en-US"/>
        </w:rPr>
        <w:t xml:space="preserve">. </w:t>
      </w:r>
    </w:p>
    <w:p w:rsidR="00AF6685" w:rsidRPr="00CC292A" w:rsidRDefault="00AF6685" w:rsidP="00CC292A">
      <w:pPr>
        <w:pStyle w:val="ListParagraph"/>
        <w:numPr>
          <w:ilvl w:val="0"/>
          <w:numId w:val="8"/>
        </w:numPr>
        <w:jc w:val="both"/>
        <w:rPr>
          <w:rFonts w:eastAsia="Arial Unicode MS" w:cs="Arial Unicode MS"/>
          <w:u w:color="000000"/>
          <w:lang w:val="en-US"/>
        </w:rPr>
      </w:pPr>
      <w:r w:rsidRPr="00222A4B">
        <w:rPr>
          <w:rFonts w:eastAsia="Arial Unicode MS" w:cs="Arial Unicode MS"/>
          <w:u w:color="000000"/>
          <w:lang w:val="en-US"/>
        </w:rPr>
        <w:t xml:space="preserve">In parallel, OCC should continue to lead on reducing carbon dioxide emissions.  Scientific consensus has set out that globally there </w:t>
      </w:r>
      <w:r w:rsidR="00BD1FE8">
        <w:rPr>
          <w:rFonts w:eastAsia="Arial Unicode MS" w:cs="Arial Unicode MS"/>
          <w:u w:color="000000"/>
          <w:lang w:val="en-US"/>
        </w:rPr>
        <w:t xml:space="preserve">are fewer </w:t>
      </w:r>
      <w:r w:rsidRPr="00222A4B">
        <w:rPr>
          <w:rFonts w:eastAsia="Arial Unicode MS" w:cs="Arial Unicode MS"/>
          <w:u w:color="000000"/>
          <w:lang w:val="en-US"/>
        </w:rPr>
        <w:t>than 12 years to deliver the changes required according to the International Panel on Climate Change. Oxford aspires to be a less congested city with fewer vehicles on our roads, and more sustainable forms of getting around. With this project, we have strategically identified fleets that we seek to electrify including the counci</w:t>
      </w:r>
      <w:r w:rsidR="00A7777C">
        <w:rPr>
          <w:rFonts w:eastAsia="Arial Unicode MS" w:cs="Arial Unicode MS"/>
          <w:u w:color="000000"/>
          <w:lang w:val="en-US"/>
        </w:rPr>
        <w:t>l fleet, private vehicles, taxi</w:t>
      </w:r>
      <w:r w:rsidRPr="00222A4B">
        <w:rPr>
          <w:rFonts w:eastAsia="Arial Unicode MS" w:cs="Arial Unicode MS"/>
          <w:u w:color="000000"/>
          <w:lang w:val="en-US"/>
        </w:rPr>
        <w:t xml:space="preserve">s and buses. </w:t>
      </w:r>
    </w:p>
    <w:p w:rsidR="00222A4B" w:rsidRDefault="00163B1B" w:rsidP="00CC292A">
      <w:pPr>
        <w:pStyle w:val="ListParagraph"/>
        <w:numPr>
          <w:ilvl w:val="0"/>
          <w:numId w:val="8"/>
        </w:numPr>
        <w:jc w:val="both"/>
      </w:pPr>
      <w:r>
        <w:t xml:space="preserve">The project </w:t>
      </w:r>
      <w:r w:rsidR="00D85BBE">
        <w:t>is due to start</w:t>
      </w:r>
      <w:r>
        <w:t xml:space="preserve"> on April 1st 2019 for a period of 36 months (until end March 20</w:t>
      </w:r>
      <w:r w:rsidR="00736694">
        <w:t>22</w:t>
      </w:r>
      <w:r w:rsidR="00D85BBE">
        <w:t>)</w:t>
      </w:r>
      <w:r w:rsidR="00736694">
        <w:t xml:space="preserve">; </w:t>
      </w:r>
      <w:r w:rsidR="00E775BA">
        <w:t xml:space="preserve">the timing being </w:t>
      </w:r>
      <w:r w:rsidR="00736694">
        <w:t>subject to the lifting of a Government</w:t>
      </w:r>
      <w:r>
        <w:t xml:space="preserve"> embargo on announcing the funding and completion of the project </w:t>
      </w:r>
      <w:r w:rsidR="00D85BBE">
        <w:t>start-up process by Innovate UK</w:t>
      </w:r>
      <w:r>
        <w:t>.</w:t>
      </w:r>
    </w:p>
    <w:p w:rsidR="00163B1B" w:rsidRDefault="00163B1B" w:rsidP="00CC292A">
      <w:pPr>
        <w:jc w:val="both"/>
      </w:pPr>
    </w:p>
    <w:p w:rsidR="00121FFF" w:rsidRDefault="00121FFF" w:rsidP="00FF2D64">
      <w:pPr>
        <w:pStyle w:val="ListParagraph"/>
        <w:numPr>
          <w:ilvl w:val="0"/>
          <w:numId w:val="8"/>
        </w:numPr>
        <w:jc w:val="both"/>
      </w:pPr>
      <w:r>
        <w:t>Benefits from the project for</w:t>
      </w:r>
      <w:r w:rsidR="007B37C5">
        <w:t xml:space="preserve"> OCC</w:t>
      </w:r>
      <w:r w:rsidR="0080347B">
        <w:t>:</w:t>
      </w:r>
    </w:p>
    <w:p w:rsidR="00222A4B" w:rsidRDefault="00121FFF" w:rsidP="00FF2D64">
      <w:pPr>
        <w:pStyle w:val="ListParagraph"/>
        <w:numPr>
          <w:ilvl w:val="1"/>
          <w:numId w:val="8"/>
        </w:numPr>
        <w:jc w:val="both"/>
      </w:pPr>
      <w:r>
        <w:lastRenderedPageBreak/>
        <w:t xml:space="preserve">Brings </w:t>
      </w:r>
      <w:r w:rsidR="0080347B">
        <w:t>£1.15m capital</w:t>
      </w:r>
      <w:r>
        <w:t xml:space="preserve"> funding to </w:t>
      </w:r>
      <w:r w:rsidR="007B37C5">
        <w:t xml:space="preserve">OCC </w:t>
      </w:r>
      <w:r w:rsidR="00736694">
        <w:t xml:space="preserve">for </w:t>
      </w:r>
      <w:r>
        <w:t>electric fleet replace</w:t>
      </w:r>
      <w:r w:rsidR="00A7777C">
        <w:t>ment and associated chargers and</w:t>
      </w:r>
      <w:r>
        <w:t xml:space="preserve"> will offer earlier opportunities for the council to trial and move to electrical fleet</w:t>
      </w:r>
      <w:r w:rsidR="0080347B">
        <w:t xml:space="preserve">. </w:t>
      </w:r>
    </w:p>
    <w:p w:rsidR="00121FFF" w:rsidRDefault="0080347B" w:rsidP="00FF2D64">
      <w:pPr>
        <w:pStyle w:val="ListParagraph"/>
        <w:numPr>
          <w:ilvl w:val="1"/>
          <w:numId w:val="8"/>
        </w:numPr>
        <w:jc w:val="both"/>
      </w:pPr>
      <w:r>
        <w:t xml:space="preserve">Funding will also be utilised to work with a  partner organisation to offer a ‘Trial before you Buy’ programme to support the local hackney carriage fleet for the move from fuel to electric (with the changes to emissions for electric taxis starting from 2020). </w:t>
      </w:r>
    </w:p>
    <w:p w:rsidR="00121FFF" w:rsidRDefault="00121FFF" w:rsidP="00FF2D64">
      <w:pPr>
        <w:pStyle w:val="ListParagraph"/>
        <w:numPr>
          <w:ilvl w:val="1"/>
          <w:numId w:val="8"/>
        </w:numPr>
        <w:jc w:val="both"/>
      </w:pPr>
      <w:r>
        <w:t xml:space="preserve">Direct high capacity electrical cabling or upgraded electrical infrastructure will be provided to Council Depots (partner funded) to allow electric fleet to be charged.  </w:t>
      </w:r>
    </w:p>
    <w:p w:rsidR="00121FFF" w:rsidRDefault="00121FFF" w:rsidP="00FF2D64">
      <w:pPr>
        <w:pStyle w:val="ListParagraph"/>
        <w:numPr>
          <w:ilvl w:val="1"/>
          <w:numId w:val="8"/>
        </w:numPr>
        <w:jc w:val="both"/>
      </w:pPr>
      <w:r>
        <w:t>Funds the creation of the first Electric Vehicle ‘</w:t>
      </w:r>
      <w:proofErr w:type="spellStart"/>
      <w:r>
        <w:t>Superhub</w:t>
      </w:r>
      <w:proofErr w:type="spellEnd"/>
      <w:r>
        <w:t>’ in Oxford</w:t>
      </w:r>
      <w:r w:rsidR="00E427B0">
        <w:t>,</w:t>
      </w:r>
      <w:r w:rsidR="000F40DE">
        <w:t xml:space="preserve"> at Redbridge P</w:t>
      </w:r>
      <w:r w:rsidR="00C21AD5">
        <w:t>ark and Ride</w:t>
      </w:r>
      <w:r w:rsidR="00957EE8">
        <w:t>,</w:t>
      </w:r>
      <w:r>
        <w:t xml:space="preserve"> providing 20+ ul</w:t>
      </w:r>
      <w:r w:rsidR="00736694">
        <w:t>tra-rapid EV chargers (c</w:t>
      </w:r>
      <w:r w:rsidR="00C21AD5">
        <w:t>.</w:t>
      </w:r>
      <w:r w:rsidR="00736694">
        <w:t>10</w:t>
      </w:r>
      <w:r>
        <w:t xml:space="preserve">-30 min charge) for the public with low affordable tariffs for local residents, visitors, businesses and passers-by. </w:t>
      </w:r>
    </w:p>
    <w:p w:rsidR="00121FFF" w:rsidRDefault="00121FFF" w:rsidP="00FF2D64">
      <w:pPr>
        <w:pStyle w:val="ListParagraph"/>
        <w:numPr>
          <w:ilvl w:val="1"/>
          <w:numId w:val="8"/>
        </w:numPr>
        <w:jc w:val="both"/>
      </w:pPr>
      <w:r>
        <w:t>Provision of dedicated charging services to the council and key businesses such as the bus companies.</w:t>
      </w:r>
    </w:p>
    <w:p w:rsidR="00121FFF" w:rsidRDefault="00121FFF" w:rsidP="00FF2D64">
      <w:pPr>
        <w:pStyle w:val="ListParagraph"/>
        <w:numPr>
          <w:ilvl w:val="1"/>
          <w:numId w:val="8"/>
        </w:numPr>
        <w:jc w:val="both"/>
      </w:pPr>
      <w:r>
        <w:t xml:space="preserve">Use of a Battery and Optimal Trading Engine (OTE) to maximise local electrical supply (especially at peak demand) and the ability to store and re-supply local green energy being generated.  </w:t>
      </w:r>
    </w:p>
    <w:p w:rsidR="00957EE8" w:rsidRPr="00222A4B" w:rsidRDefault="0058195D" w:rsidP="00FF2D64">
      <w:pPr>
        <w:pStyle w:val="ListParagraph"/>
        <w:numPr>
          <w:ilvl w:val="1"/>
          <w:numId w:val="8"/>
        </w:numPr>
        <w:jc w:val="both"/>
        <w:rPr>
          <w:color w:val="FF0000"/>
        </w:rPr>
      </w:pPr>
      <w:r w:rsidRPr="00222A4B">
        <w:rPr>
          <w:rFonts w:cs="Arial"/>
        </w:rPr>
        <w:t>It will build early capability at the Council and O</w:t>
      </w:r>
      <w:r w:rsidR="00C21AD5">
        <w:rPr>
          <w:rFonts w:cs="Arial"/>
        </w:rPr>
        <w:t>xford Direct Services</w:t>
      </w:r>
      <w:r w:rsidRPr="00222A4B">
        <w:rPr>
          <w:rFonts w:cs="Arial"/>
        </w:rPr>
        <w:t xml:space="preserve"> </w:t>
      </w:r>
      <w:r w:rsidR="00BD1FE8">
        <w:rPr>
          <w:rFonts w:cs="Arial"/>
        </w:rPr>
        <w:t xml:space="preserve">(ODS) </w:t>
      </w:r>
      <w:r w:rsidRPr="00222A4B">
        <w:rPr>
          <w:rFonts w:cs="Arial"/>
        </w:rPr>
        <w:t>to be at the forefront of opportunities from the electric future and changes to our transport system. In the next five years</w:t>
      </w:r>
      <w:r w:rsidR="007B37C5">
        <w:rPr>
          <w:rFonts w:cs="Arial"/>
        </w:rPr>
        <w:t xml:space="preserve"> OCC</w:t>
      </w:r>
      <w:r w:rsidRPr="00222A4B">
        <w:rPr>
          <w:rFonts w:cs="Arial"/>
        </w:rPr>
        <w:t xml:space="preserve"> plans to upgrade a minimum of 60 vehicles to electric. Assuming an a</w:t>
      </w:r>
      <w:r w:rsidR="0019603D">
        <w:rPr>
          <w:rFonts w:cs="Arial"/>
        </w:rPr>
        <w:t>verage battery size of 50kWh*60, c</w:t>
      </w:r>
      <w:r w:rsidRPr="00222A4B">
        <w:rPr>
          <w:rFonts w:cs="Arial"/>
        </w:rPr>
        <w:t>harging 20% of the vehicles at one time would require 600kW of electric supply. The supply we have at our depots currently ranges from around 69kW to 130 kW</w:t>
      </w:r>
      <w:r w:rsidR="00B07A95" w:rsidRPr="00222A4B">
        <w:rPr>
          <w:rFonts w:cs="Arial"/>
        </w:rPr>
        <w:t xml:space="preserve">. </w:t>
      </w:r>
      <w:r w:rsidRPr="00222A4B">
        <w:rPr>
          <w:rFonts w:cs="Arial"/>
        </w:rPr>
        <w:t>These electrical supplies also need to provide for all the other building and operat</w:t>
      </w:r>
      <w:r w:rsidR="0019603D">
        <w:rPr>
          <w:rFonts w:cs="Arial"/>
        </w:rPr>
        <w:t xml:space="preserve">ional requirements on site. </w:t>
      </w:r>
      <w:r w:rsidR="00FC3CA7">
        <w:rPr>
          <w:rFonts w:cs="Arial"/>
        </w:rPr>
        <w:t xml:space="preserve">The </w:t>
      </w:r>
      <w:r w:rsidRPr="00222A4B">
        <w:rPr>
          <w:rFonts w:cs="Arial"/>
        </w:rPr>
        <w:t xml:space="preserve">fleet </w:t>
      </w:r>
      <w:r w:rsidR="00FC3CA7">
        <w:rPr>
          <w:rFonts w:cs="Arial"/>
        </w:rPr>
        <w:t>could not therefore be charged without upgrading the</w:t>
      </w:r>
      <w:r w:rsidRPr="00222A4B">
        <w:rPr>
          <w:rFonts w:cs="Arial"/>
        </w:rPr>
        <w:t xml:space="preserve"> existing supply</w:t>
      </w:r>
      <w:r w:rsidRPr="0019603D">
        <w:rPr>
          <w:color w:val="auto"/>
        </w:rPr>
        <w:t>.</w:t>
      </w:r>
      <w:r w:rsidRPr="00222A4B">
        <w:rPr>
          <w:color w:val="FF0000"/>
        </w:rPr>
        <w:t xml:space="preserve"> </w:t>
      </w:r>
      <w:r w:rsidR="00351605" w:rsidRPr="00222A4B">
        <w:rPr>
          <w:color w:val="FF0000"/>
        </w:rPr>
        <w:t xml:space="preserve"> </w:t>
      </w:r>
    </w:p>
    <w:p w:rsidR="00121FFF" w:rsidRDefault="00121FFF" w:rsidP="00FF2D64">
      <w:pPr>
        <w:pStyle w:val="ListParagraph"/>
        <w:numPr>
          <w:ilvl w:val="0"/>
          <w:numId w:val="8"/>
        </w:numPr>
        <w:jc w:val="both"/>
      </w:pPr>
      <w:r>
        <w:t>The maj</w:t>
      </w:r>
      <w:r w:rsidR="00BD1FE8">
        <w:t xml:space="preserve">or role and challenges for </w:t>
      </w:r>
      <w:r w:rsidR="00FC3CA7">
        <w:t xml:space="preserve">OCC </w:t>
      </w:r>
      <w:r>
        <w:t xml:space="preserve">will </w:t>
      </w:r>
      <w:r w:rsidR="00957EE8">
        <w:t>include:</w:t>
      </w:r>
      <w:r>
        <w:t xml:space="preserve"> </w:t>
      </w:r>
    </w:p>
    <w:p w:rsidR="005142B1" w:rsidRDefault="00121FFF" w:rsidP="00FF2D64">
      <w:pPr>
        <w:pStyle w:val="ListParagraph"/>
        <w:numPr>
          <w:ilvl w:val="1"/>
          <w:numId w:val="8"/>
        </w:numPr>
        <w:contextualSpacing/>
        <w:jc w:val="both"/>
      </w:pPr>
      <w:r>
        <w:t xml:space="preserve">Strategic engagement </w:t>
      </w:r>
      <w:r w:rsidR="00163B1B">
        <w:t>to meet project requirements for locations of chargers</w:t>
      </w:r>
      <w:r w:rsidR="00957EE8">
        <w:t xml:space="preserve"> &amp; cabling</w:t>
      </w:r>
      <w:r w:rsidR="00163B1B">
        <w:t xml:space="preserve">, </w:t>
      </w:r>
      <w:r>
        <w:t xml:space="preserve">with project partners, </w:t>
      </w:r>
      <w:r w:rsidR="00163B1B">
        <w:t>stakeholders and council</w:t>
      </w:r>
      <w:r w:rsidR="00957EE8">
        <w:t xml:space="preserve"> colleagues</w:t>
      </w:r>
      <w:r w:rsidR="00163B1B">
        <w:t>.</w:t>
      </w:r>
    </w:p>
    <w:p w:rsidR="00121FFF" w:rsidRDefault="00121FFF" w:rsidP="00FF2D64">
      <w:pPr>
        <w:pStyle w:val="ListParagraph"/>
        <w:numPr>
          <w:ilvl w:val="1"/>
          <w:numId w:val="8"/>
        </w:numPr>
        <w:jc w:val="both"/>
      </w:pPr>
      <w:r>
        <w:t>Project management of E</w:t>
      </w:r>
      <w:r w:rsidR="0056729F">
        <w:t>SO funding: internal governance; partnership governance; collaborative support;</w:t>
      </w:r>
      <w:r>
        <w:t xml:space="preserve"> reporting and evidencing claims.</w:t>
      </w:r>
    </w:p>
    <w:p w:rsidR="00121FFF" w:rsidRDefault="00121FFF" w:rsidP="00FF2D64">
      <w:pPr>
        <w:pStyle w:val="ListParagraph"/>
        <w:numPr>
          <w:ilvl w:val="1"/>
          <w:numId w:val="8"/>
        </w:numPr>
        <w:jc w:val="both"/>
      </w:pPr>
      <w:r>
        <w:t>Purchase of electric vehicles as part of the fleet replacement programme and the associated charging infrastructure.</w:t>
      </w:r>
    </w:p>
    <w:p w:rsidR="005142B1" w:rsidRDefault="005142B1" w:rsidP="00FF2D64">
      <w:pPr>
        <w:pStyle w:val="ListParagraph"/>
        <w:numPr>
          <w:ilvl w:val="1"/>
          <w:numId w:val="8"/>
        </w:numPr>
        <w:jc w:val="both"/>
      </w:pPr>
      <w:r>
        <w:t xml:space="preserve">Agreements for land use for the </w:t>
      </w:r>
      <w:proofErr w:type="spellStart"/>
      <w:r>
        <w:t>Superhub</w:t>
      </w:r>
      <w:proofErr w:type="spellEnd"/>
      <w:r>
        <w:t xml:space="preserve"> and cabling to be delivered to Depots). Contracts for infrastructure associated with the project (such as charging infrastructure, taxi trial etc.</w:t>
      </w:r>
      <w:r w:rsidR="0019603D">
        <w:t>)</w:t>
      </w:r>
      <w:r>
        <w:t xml:space="preserve"> </w:t>
      </w:r>
    </w:p>
    <w:p w:rsidR="000F40DE" w:rsidRDefault="000F40DE" w:rsidP="00FF2D64">
      <w:pPr>
        <w:pStyle w:val="ListParagraph"/>
        <w:numPr>
          <w:ilvl w:val="1"/>
          <w:numId w:val="8"/>
        </w:numPr>
        <w:jc w:val="both"/>
      </w:pPr>
      <w:r>
        <w:t>Provision of Redbridge P&amp;R as the location of the E</w:t>
      </w:r>
      <w:r w:rsidR="00BD1FE8">
        <w:t xml:space="preserve">lectric </w:t>
      </w:r>
      <w:r>
        <w:t>V</w:t>
      </w:r>
      <w:r w:rsidR="00BD1FE8">
        <w:t>ehicle</w:t>
      </w:r>
      <w:r>
        <w:t xml:space="preserve"> ‘</w:t>
      </w:r>
      <w:proofErr w:type="spellStart"/>
      <w:r>
        <w:t>Superhub</w:t>
      </w:r>
      <w:proofErr w:type="spellEnd"/>
      <w:r>
        <w:t>’</w:t>
      </w:r>
      <w:r w:rsidR="00E775BA">
        <w:t xml:space="preserve">, alongside a number of other projects and constraints on the site. </w:t>
      </w:r>
    </w:p>
    <w:p w:rsidR="00121FFF" w:rsidRDefault="00121FFF" w:rsidP="00FF2D64">
      <w:pPr>
        <w:pStyle w:val="ListParagraph"/>
        <w:numPr>
          <w:ilvl w:val="1"/>
          <w:numId w:val="8"/>
        </w:numPr>
        <w:jc w:val="both"/>
      </w:pPr>
      <w:r>
        <w:lastRenderedPageBreak/>
        <w:t xml:space="preserve">Purchase or other appropriate procurement of services to provide Hackney Carriage Drivers with the opportunity to trial electric taxis and support the move of all Hackney Taxi’s in Oxford to ULEV by 2025. </w:t>
      </w:r>
    </w:p>
    <w:p w:rsidR="00121FFF" w:rsidRDefault="00121FFF" w:rsidP="00FF2D64">
      <w:pPr>
        <w:pStyle w:val="ListParagraph"/>
        <w:numPr>
          <w:ilvl w:val="1"/>
          <w:numId w:val="8"/>
        </w:numPr>
        <w:jc w:val="both"/>
      </w:pPr>
      <w:r>
        <w:t>Delivery of one stakeholder engagement event each year for three years.</w:t>
      </w:r>
    </w:p>
    <w:p w:rsidR="00163B1B" w:rsidRDefault="00121FFF" w:rsidP="00FF2D64">
      <w:pPr>
        <w:pStyle w:val="ListParagraph"/>
        <w:numPr>
          <w:ilvl w:val="1"/>
          <w:numId w:val="8"/>
        </w:numPr>
        <w:jc w:val="both"/>
      </w:pPr>
      <w:r>
        <w:t>Travel and presentation to dissemination events in the UK.</w:t>
      </w:r>
    </w:p>
    <w:p w:rsidR="00163B1B" w:rsidRPr="00222A4B" w:rsidRDefault="00163B1B" w:rsidP="00222A4B">
      <w:pPr>
        <w:pStyle w:val="ListParagraph"/>
        <w:numPr>
          <w:ilvl w:val="0"/>
          <w:numId w:val="0"/>
        </w:numPr>
        <w:tabs>
          <w:tab w:val="clear" w:pos="426"/>
        </w:tabs>
        <w:ind w:left="720"/>
        <w:contextualSpacing/>
      </w:pPr>
    </w:p>
    <w:p w:rsidR="000F40DE" w:rsidRPr="00222A4B" w:rsidRDefault="000F40DE" w:rsidP="00FF2D64">
      <w:pPr>
        <w:pStyle w:val="ListParagraph"/>
        <w:numPr>
          <w:ilvl w:val="0"/>
          <w:numId w:val="8"/>
        </w:numPr>
        <w:jc w:val="both"/>
      </w:pPr>
      <w:r w:rsidRPr="00222A4B">
        <w:t xml:space="preserve">This report asks for confirmation that </w:t>
      </w:r>
      <w:r w:rsidR="00FC3CA7">
        <w:t xml:space="preserve">OCC </w:t>
      </w:r>
      <w:r w:rsidRPr="00222A4B">
        <w:t>will grant project approva</w:t>
      </w:r>
      <w:r w:rsidR="00B07A95" w:rsidRPr="00222A4B">
        <w:t xml:space="preserve">l, for </w:t>
      </w:r>
      <w:r w:rsidR="00FC3CA7">
        <w:t xml:space="preserve">OCC </w:t>
      </w:r>
      <w:r w:rsidR="00B07A95" w:rsidRPr="00222A4B">
        <w:t xml:space="preserve">to enter into a Collaboration Agreement with project partners, enabling </w:t>
      </w:r>
      <w:r w:rsidRPr="00222A4B">
        <w:t xml:space="preserve">draw down of </w:t>
      </w:r>
      <w:r w:rsidR="00B07A95" w:rsidRPr="00222A4B">
        <w:t xml:space="preserve">£1.62M of </w:t>
      </w:r>
      <w:r w:rsidRPr="00222A4B">
        <w:t xml:space="preserve">Innovate Funding and </w:t>
      </w:r>
      <w:r w:rsidR="00B07A95" w:rsidRPr="00222A4B">
        <w:t xml:space="preserve">thereby delivering </w:t>
      </w:r>
      <w:r w:rsidR="005E6D86" w:rsidRPr="00222A4B">
        <w:t xml:space="preserve">associated project </w:t>
      </w:r>
      <w:r w:rsidR="00ED5779" w:rsidRPr="00222A4B">
        <w:t xml:space="preserve">outcomes itemised in this report. </w:t>
      </w:r>
    </w:p>
    <w:p w:rsidR="00375E67" w:rsidRPr="00222A4B" w:rsidRDefault="00375E67" w:rsidP="00222A4B">
      <w:pPr>
        <w:pStyle w:val="ListParagraph"/>
        <w:numPr>
          <w:ilvl w:val="0"/>
          <w:numId w:val="0"/>
        </w:numPr>
        <w:ind w:left="426"/>
        <w:jc w:val="both"/>
      </w:pPr>
    </w:p>
    <w:p w:rsidR="00375E67" w:rsidRPr="00222A4B" w:rsidRDefault="00375E67" w:rsidP="00222A4B">
      <w:pPr>
        <w:ind w:left="360" w:hanging="360"/>
        <w:rPr>
          <w:b/>
        </w:rPr>
      </w:pPr>
      <w:r w:rsidRPr="00222A4B">
        <w:rPr>
          <w:b/>
        </w:rPr>
        <w:t xml:space="preserve">Environmental </w:t>
      </w:r>
      <w:r w:rsidR="00957EE8" w:rsidRPr="00222A4B">
        <w:rPr>
          <w:b/>
        </w:rPr>
        <w:t>&amp; Sustainable</w:t>
      </w:r>
      <w:r w:rsidRPr="00222A4B">
        <w:rPr>
          <w:b/>
        </w:rPr>
        <w:t xml:space="preserve"> Implications</w:t>
      </w:r>
    </w:p>
    <w:p w:rsidR="00375E67" w:rsidRDefault="00375E67" w:rsidP="00CC292A">
      <w:pPr>
        <w:pStyle w:val="ListParagraph"/>
        <w:numPr>
          <w:ilvl w:val="0"/>
          <w:numId w:val="8"/>
        </w:numPr>
        <w:spacing w:after="0"/>
      </w:pPr>
      <w:r>
        <w:t xml:space="preserve">De-carbonising ODS Fleet </w:t>
      </w:r>
    </w:p>
    <w:p w:rsidR="0056729F" w:rsidRDefault="0056729F" w:rsidP="0056729F">
      <w:pPr>
        <w:pStyle w:val="ListParagraph"/>
        <w:numPr>
          <w:ilvl w:val="0"/>
          <w:numId w:val="0"/>
        </w:numPr>
        <w:spacing w:after="0"/>
        <w:ind w:left="720"/>
      </w:pPr>
    </w:p>
    <w:p w:rsidR="00C2487A" w:rsidRDefault="00375E67" w:rsidP="00CC292A">
      <w:pPr>
        <w:ind w:left="720"/>
        <w:contextualSpacing/>
        <w:jc w:val="both"/>
      </w:pPr>
      <w:r>
        <w:t>The funding will co-fund investment in electric vehicles in our fleet-replacement programme, allow trial of new fleet entering the market and provide the associated charging infrastructure needed (and electrical capacity for charging).</w:t>
      </w:r>
    </w:p>
    <w:p w:rsidR="00375E67" w:rsidRDefault="00375E67" w:rsidP="00CC292A">
      <w:pPr>
        <w:pStyle w:val="ListParagraph"/>
        <w:numPr>
          <w:ilvl w:val="0"/>
          <w:numId w:val="8"/>
        </w:numPr>
      </w:pPr>
      <w:r>
        <w:t>De-carbonising Taxi travel</w:t>
      </w:r>
    </w:p>
    <w:p w:rsidR="00C2487A" w:rsidRDefault="00375E67" w:rsidP="00CC292A">
      <w:pPr>
        <w:pStyle w:val="ListParagraph"/>
        <w:numPr>
          <w:ilvl w:val="0"/>
          <w:numId w:val="0"/>
        </w:numPr>
        <w:ind w:left="720"/>
        <w:contextualSpacing/>
        <w:jc w:val="both"/>
      </w:pPr>
      <w:r>
        <w:t>The funding will help support the introduction of ultra-low emissions taxis to Oxford’s hackney carriage fleet.</w:t>
      </w:r>
    </w:p>
    <w:p w:rsidR="00CC292A" w:rsidRDefault="00CC292A" w:rsidP="00CC292A">
      <w:pPr>
        <w:pStyle w:val="ListParagraph"/>
        <w:numPr>
          <w:ilvl w:val="0"/>
          <w:numId w:val="0"/>
        </w:numPr>
        <w:ind w:left="720"/>
        <w:contextualSpacing/>
        <w:jc w:val="both"/>
      </w:pPr>
    </w:p>
    <w:p w:rsidR="00375E67" w:rsidRDefault="00375E67" w:rsidP="00CC292A">
      <w:pPr>
        <w:pStyle w:val="ListParagraph"/>
        <w:numPr>
          <w:ilvl w:val="0"/>
          <w:numId w:val="8"/>
        </w:numPr>
      </w:pPr>
      <w:r>
        <w:t>Increase EV uptake</w:t>
      </w:r>
    </w:p>
    <w:p w:rsidR="00375E67" w:rsidRDefault="00375E67" w:rsidP="00BD1FE8">
      <w:pPr>
        <w:pStyle w:val="ListParagraph"/>
        <w:numPr>
          <w:ilvl w:val="0"/>
          <w:numId w:val="0"/>
        </w:numPr>
        <w:ind w:left="720"/>
        <w:contextualSpacing/>
        <w:jc w:val="both"/>
      </w:pPr>
      <w:r>
        <w:t xml:space="preserve">The </w:t>
      </w:r>
      <w:r w:rsidR="00E427B0">
        <w:t>‘</w:t>
      </w:r>
      <w:proofErr w:type="spellStart"/>
      <w:r w:rsidR="00E427B0">
        <w:t>Superhub</w:t>
      </w:r>
      <w:proofErr w:type="spellEnd"/>
      <w:r w:rsidR="00E427B0">
        <w:t>’</w:t>
      </w:r>
      <w:r>
        <w:t xml:space="preserve"> offers </w:t>
      </w:r>
      <w:r w:rsidR="00E427B0">
        <w:t>the first c</w:t>
      </w:r>
      <w:r w:rsidR="00E775BA">
        <w:t xml:space="preserve">harging hub in Oxford with </w:t>
      </w:r>
      <w:r>
        <w:t>ra</w:t>
      </w:r>
      <w:r w:rsidR="00E427B0">
        <w:t>pid electric vehicle charging for</w:t>
      </w:r>
      <w:r>
        <w:t xml:space="preserve"> Oxford’s residents, visitors and businesses.</w:t>
      </w:r>
      <w:r w:rsidR="00CC292A">
        <w:t xml:space="preserve"> </w:t>
      </w:r>
      <w:r>
        <w:t xml:space="preserve">Part of the project strategy and </w:t>
      </w:r>
      <w:r w:rsidR="00E427B0">
        <w:t xml:space="preserve">a </w:t>
      </w:r>
      <w:r>
        <w:t xml:space="preserve">fundamental for grant approval is that the price points </w:t>
      </w:r>
      <w:r w:rsidR="00E775BA">
        <w:t xml:space="preserve">for charging </w:t>
      </w:r>
      <w:r>
        <w:t>from the ult</w:t>
      </w:r>
      <w:r w:rsidR="00351605">
        <w:t xml:space="preserve">ra-rapid charging hub are </w:t>
      </w:r>
      <w:r w:rsidR="00E427B0">
        <w:t>low, thereby providing</w:t>
      </w:r>
      <w:r>
        <w:t xml:space="preserve"> </w:t>
      </w:r>
      <w:r w:rsidR="00351605">
        <w:t xml:space="preserve">assurance </w:t>
      </w:r>
      <w:r>
        <w:t>for those wishing to invest in electric vehicles but concerned with charging in</w:t>
      </w:r>
      <w:r w:rsidR="00CC292A">
        <w:t>frastructure availability and th</w:t>
      </w:r>
      <w:r>
        <w:t xml:space="preserve">e speed of payback from lower running costs </w:t>
      </w:r>
    </w:p>
    <w:p w:rsidR="00375E67" w:rsidRDefault="00375E67" w:rsidP="00CC292A">
      <w:pPr>
        <w:spacing w:after="0"/>
        <w:ind w:left="357"/>
        <w:contextualSpacing/>
      </w:pPr>
    </w:p>
    <w:p w:rsidR="00CC292A" w:rsidRPr="00222A4B" w:rsidRDefault="00375E67" w:rsidP="00CC292A">
      <w:pPr>
        <w:ind w:left="360" w:hanging="357"/>
        <w:rPr>
          <w:b/>
        </w:rPr>
      </w:pPr>
      <w:r w:rsidRPr="00222A4B">
        <w:rPr>
          <w:b/>
        </w:rPr>
        <w:t>Human Resources Implications</w:t>
      </w:r>
    </w:p>
    <w:p w:rsidR="00375E67" w:rsidRDefault="00375E67" w:rsidP="00CC292A">
      <w:pPr>
        <w:pStyle w:val="ListParagraph"/>
        <w:numPr>
          <w:ilvl w:val="0"/>
          <w:numId w:val="8"/>
        </w:numPr>
        <w:ind w:hanging="357"/>
        <w:contextualSpacing/>
      </w:pPr>
      <w:r>
        <w:t xml:space="preserve">The project secures circa £200k of funding for </w:t>
      </w:r>
      <w:r w:rsidR="00FC3CA7">
        <w:t xml:space="preserve">OCC </w:t>
      </w:r>
      <w:r w:rsidR="0056729F">
        <w:t>s</w:t>
      </w:r>
      <w:r w:rsidR="00BD1FE8">
        <w:t>taffing</w:t>
      </w:r>
      <w:r>
        <w:t xml:space="preserve"> to deliver </w:t>
      </w:r>
      <w:r w:rsidR="00E427B0">
        <w:t>the project outcomes.</w:t>
      </w:r>
      <w:r w:rsidR="00222A4B">
        <w:t xml:space="preserve">  This project also offers the opportunity to increase the skills and capacity </w:t>
      </w:r>
      <w:r>
        <w:t>of officers to design future EV projects due to an increased understanding of current attitudes towards EVs and EV charging</w:t>
      </w:r>
      <w:r w:rsidR="00CC292A">
        <w:t>.</w:t>
      </w:r>
    </w:p>
    <w:p w:rsidR="00CC292A" w:rsidRPr="00CC292A" w:rsidRDefault="00CC292A" w:rsidP="00CC292A">
      <w:pPr>
        <w:pStyle w:val="ListParagraph"/>
        <w:numPr>
          <w:ilvl w:val="0"/>
          <w:numId w:val="0"/>
        </w:numPr>
        <w:spacing w:after="0"/>
        <w:ind w:left="720"/>
        <w:contextualSpacing/>
      </w:pPr>
    </w:p>
    <w:p w:rsidR="00CC292A" w:rsidRPr="00222A4B" w:rsidRDefault="00375E67" w:rsidP="00CC292A">
      <w:pPr>
        <w:ind w:left="360" w:hanging="357"/>
        <w:rPr>
          <w:b/>
        </w:rPr>
      </w:pPr>
      <w:r w:rsidRPr="00222A4B">
        <w:rPr>
          <w:b/>
        </w:rPr>
        <w:t>Developing commercial offer at ODS</w:t>
      </w:r>
    </w:p>
    <w:p w:rsidR="00222A4B" w:rsidRDefault="00C2487A" w:rsidP="00CC292A">
      <w:pPr>
        <w:pStyle w:val="ListParagraph"/>
        <w:numPr>
          <w:ilvl w:val="0"/>
          <w:numId w:val="8"/>
        </w:numPr>
        <w:ind w:hanging="357"/>
        <w:jc w:val="both"/>
      </w:pPr>
      <w:r>
        <w:t>The project provides s</w:t>
      </w:r>
      <w:r w:rsidR="00375E67">
        <w:t>upport for ODS</w:t>
      </w:r>
      <w:r w:rsidR="00E427B0">
        <w:t xml:space="preserve"> (both financial and practi</w:t>
      </w:r>
      <w:r>
        <w:t xml:space="preserve">cal) to increase </w:t>
      </w:r>
      <w:r w:rsidR="00E427B0">
        <w:t>skills and expertise with servicing, testing and maintaining Electric Vehicles</w:t>
      </w:r>
      <w:r>
        <w:t xml:space="preserve"> and charging infrastructure</w:t>
      </w:r>
      <w:r w:rsidR="00E427B0">
        <w:t xml:space="preserve">. </w:t>
      </w:r>
      <w:r w:rsidR="00222A4B">
        <w:t>There is also the o</w:t>
      </w:r>
      <w:r w:rsidR="00375E67">
        <w:t xml:space="preserve">pportunity for ODS </w:t>
      </w:r>
      <w:r w:rsidR="00E427B0">
        <w:t xml:space="preserve">Highways and Engineering and Building teams to </w:t>
      </w:r>
      <w:r w:rsidR="00375E67">
        <w:t xml:space="preserve">tender for </w:t>
      </w:r>
      <w:r w:rsidR="009C2BEA">
        <w:t xml:space="preserve">other elements of this project </w:t>
      </w:r>
      <w:r w:rsidR="00E427B0">
        <w:t xml:space="preserve"> including </w:t>
      </w:r>
      <w:r w:rsidR="00375E67">
        <w:t xml:space="preserve">heat pump installation, cable laying and </w:t>
      </w:r>
      <w:r>
        <w:t xml:space="preserve">maintenance of chargers (worth up to </w:t>
      </w:r>
      <w:r w:rsidR="00375E67">
        <w:t xml:space="preserve">£10m). </w:t>
      </w:r>
    </w:p>
    <w:p w:rsidR="009C2BEA" w:rsidRDefault="009C2BEA" w:rsidP="009C2BEA">
      <w:pPr>
        <w:pStyle w:val="ListParagraph"/>
        <w:numPr>
          <w:ilvl w:val="0"/>
          <w:numId w:val="0"/>
        </w:numPr>
        <w:ind w:left="720"/>
        <w:jc w:val="both"/>
      </w:pPr>
    </w:p>
    <w:p w:rsidR="00CC292A" w:rsidRDefault="00CC292A" w:rsidP="00CC292A">
      <w:pPr>
        <w:pStyle w:val="ListParagraph"/>
        <w:numPr>
          <w:ilvl w:val="0"/>
          <w:numId w:val="0"/>
        </w:numPr>
        <w:spacing w:after="0"/>
        <w:ind w:left="720"/>
        <w:jc w:val="both"/>
      </w:pPr>
    </w:p>
    <w:p w:rsidR="00760162" w:rsidRPr="00222A4B" w:rsidRDefault="00760162" w:rsidP="00CC292A">
      <w:pPr>
        <w:rPr>
          <w:b/>
        </w:rPr>
      </w:pPr>
      <w:r w:rsidRPr="00222A4B">
        <w:rPr>
          <w:b/>
        </w:rPr>
        <w:lastRenderedPageBreak/>
        <w:t>Cost Reduction</w:t>
      </w:r>
    </w:p>
    <w:p w:rsidR="00CE7ED9" w:rsidRDefault="00C2487A" w:rsidP="00CC292A">
      <w:pPr>
        <w:pStyle w:val="ListParagraph"/>
        <w:numPr>
          <w:ilvl w:val="0"/>
          <w:numId w:val="8"/>
        </w:numPr>
        <w:jc w:val="both"/>
      </w:pPr>
      <w:r>
        <w:t>The provision of</w:t>
      </w:r>
      <w:r w:rsidR="00760162">
        <w:t xml:space="preserve"> 10MW</w:t>
      </w:r>
      <w:r w:rsidR="00075BA9">
        <w:t>H</w:t>
      </w:r>
      <w:r w:rsidR="00760162">
        <w:t xml:space="preserve"> electricity cabling supply</w:t>
      </w:r>
      <w:r>
        <w:t xml:space="preserve"> infrastructure</w:t>
      </w:r>
      <w:r w:rsidR="00760162">
        <w:t xml:space="preserve"> </w:t>
      </w:r>
      <w:r>
        <w:t xml:space="preserve">will </w:t>
      </w:r>
      <w:r w:rsidR="00075BA9">
        <w:t>help to reduce the future costs</w:t>
      </w:r>
      <w:r w:rsidR="00760162">
        <w:t xml:space="preserve"> </w:t>
      </w:r>
      <w:r w:rsidR="00075BA9">
        <w:t>to upgrade</w:t>
      </w:r>
      <w:r w:rsidR="00760162">
        <w:t xml:space="preserve"> existing </w:t>
      </w:r>
      <w:r w:rsidR="00075BA9">
        <w:t>networks to match capacity needed</w:t>
      </w:r>
      <w:r w:rsidR="00760162">
        <w:t xml:space="preserve"> to charge fleet.  </w:t>
      </w:r>
    </w:p>
    <w:p w:rsidR="00CE7ED9" w:rsidRDefault="002329CF" w:rsidP="00222A4B">
      <w:pPr>
        <w:pStyle w:val="Heading1"/>
      </w:pPr>
      <w:r w:rsidRPr="001356F1">
        <w:t>Financial implications</w:t>
      </w:r>
    </w:p>
    <w:p w:rsidR="00CE7ED9" w:rsidRPr="00222A4B" w:rsidRDefault="00FC3CA7" w:rsidP="00FF2D64">
      <w:pPr>
        <w:pStyle w:val="ListParagraph"/>
        <w:numPr>
          <w:ilvl w:val="0"/>
          <w:numId w:val="8"/>
        </w:numPr>
        <w:jc w:val="both"/>
        <w:rPr>
          <w:rFonts w:cs="Arial"/>
        </w:rPr>
      </w:pPr>
      <w:r>
        <w:rPr>
          <w:rFonts w:cs="Arial"/>
        </w:rPr>
        <w:t xml:space="preserve">OCC </w:t>
      </w:r>
      <w:r w:rsidR="00CE7ED9" w:rsidRPr="00222A4B">
        <w:rPr>
          <w:rFonts w:cs="Arial"/>
        </w:rPr>
        <w:t>will receive £</w:t>
      </w:r>
      <w:r w:rsidR="00CE7ED9">
        <w:t>1,615,169</w:t>
      </w:r>
      <w:r w:rsidR="00CE7ED9" w:rsidRPr="00222A4B">
        <w:rPr>
          <w:rFonts w:cs="Arial"/>
        </w:rPr>
        <w:t xml:space="preserve"> of funding from Innovate UK, this is 100% of the total cost of the project and broken down as per Table 1. </w:t>
      </w:r>
    </w:p>
    <w:p w:rsidR="00B07A95" w:rsidRPr="00222A4B" w:rsidRDefault="00FC3CA7" w:rsidP="00FF2D64">
      <w:pPr>
        <w:pStyle w:val="ListParagraph"/>
        <w:numPr>
          <w:ilvl w:val="0"/>
          <w:numId w:val="8"/>
        </w:numPr>
        <w:jc w:val="both"/>
        <w:rPr>
          <w:rFonts w:cs="Arial"/>
        </w:rPr>
      </w:pPr>
      <w:r>
        <w:rPr>
          <w:rFonts w:cs="Arial"/>
        </w:rPr>
        <w:t xml:space="preserve">OCC </w:t>
      </w:r>
      <w:r w:rsidR="00B07A95" w:rsidRPr="00222A4B">
        <w:rPr>
          <w:rFonts w:cs="Arial"/>
        </w:rPr>
        <w:t xml:space="preserve">will be appointed as the Accountable Body </w:t>
      </w:r>
      <w:r w:rsidR="000D5463" w:rsidRPr="00222A4B">
        <w:rPr>
          <w:rFonts w:cs="Arial"/>
        </w:rPr>
        <w:t xml:space="preserve">to Innovate UK </w:t>
      </w:r>
      <w:r w:rsidR="00B07A95" w:rsidRPr="00222A4B">
        <w:rPr>
          <w:rFonts w:cs="Arial"/>
        </w:rPr>
        <w:t xml:space="preserve">for the £1.62M and as such will receive, and will be accountable for, the whole of the funding payable. </w:t>
      </w:r>
    </w:p>
    <w:p w:rsidR="009723B0" w:rsidRPr="00222A4B" w:rsidRDefault="00FC3CA7" w:rsidP="00FF2D64">
      <w:pPr>
        <w:pStyle w:val="ListParagraph"/>
        <w:numPr>
          <w:ilvl w:val="0"/>
          <w:numId w:val="8"/>
        </w:numPr>
        <w:jc w:val="both"/>
        <w:rPr>
          <w:rFonts w:cs="Arial"/>
        </w:rPr>
      </w:pPr>
      <w:r>
        <w:t xml:space="preserve">OCC </w:t>
      </w:r>
      <w:r w:rsidR="009723B0">
        <w:t xml:space="preserve">is only accountable for the funding it receives from Innovate UK. It is not liable for any partner funding, whether sourced from Innovate or via Private Equity Funding. </w:t>
      </w:r>
    </w:p>
    <w:p w:rsidR="00CD23E1" w:rsidRPr="00222A4B" w:rsidRDefault="00CD23E1" w:rsidP="00FF2D64">
      <w:pPr>
        <w:pStyle w:val="ListParagraph"/>
        <w:numPr>
          <w:ilvl w:val="0"/>
          <w:numId w:val="8"/>
        </w:numPr>
        <w:jc w:val="both"/>
        <w:rPr>
          <w:rFonts w:cs="Arial"/>
        </w:rPr>
      </w:pPr>
      <w:r w:rsidRPr="00222A4B">
        <w:rPr>
          <w:rFonts w:cs="Arial"/>
        </w:rPr>
        <w:t xml:space="preserve">Overall project costs will be controlled to be within </w:t>
      </w:r>
      <w:r>
        <w:t>the funding envelope provided by the grant and any contributions from partners or sub-contractors.</w:t>
      </w:r>
    </w:p>
    <w:p w:rsidR="00493830" w:rsidRPr="00222A4B" w:rsidRDefault="00CD23E1" w:rsidP="00FF2D64">
      <w:pPr>
        <w:pStyle w:val="ListParagraph"/>
        <w:numPr>
          <w:ilvl w:val="0"/>
          <w:numId w:val="8"/>
        </w:numPr>
        <w:jc w:val="both"/>
        <w:rPr>
          <w:rFonts w:cs="Arial"/>
        </w:rPr>
      </w:pPr>
      <w:r w:rsidRPr="00222A4B">
        <w:rPr>
          <w:rFonts w:cs="Arial"/>
        </w:rPr>
        <w:t xml:space="preserve">Grant costs </w:t>
      </w:r>
      <w:r w:rsidR="00493830" w:rsidRPr="00222A4B">
        <w:rPr>
          <w:rFonts w:cs="Arial"/>
        </w:rPr>
        <w:t xml:space="preserve">are claimed in arrears at the end of each quarter. </w:t>
      </w:r>
      <w:r w:rsidR="00221901">
        <w:t xml:space="preserve">As the grant funding is claimed retrospectively, cash flow support </w:t>
      </w:r>
      <w:r w:rsidR="0064007D">
        <w:t xml:space="preserve">and the setup of reserve budget accounts to receipt the funding </w:t>
      </w:r>
      <w:r w:rsidR="00221901">
        <w:t xml:space="preserve">will be required. </w:t>
      </w:r>
      <w:r w:rsidR="005D0A74">
        <w:t>The City Council</w:t>
      </w:r>
      <w:r w:rsidR="00110EF4">
        <w:t>’</w:t>
      </w:r>
      <w:r w:rsidR="005D0A74">
        <w:t>s capital programme allows for purchases of electric vehicles used in the operation of building services, highways and engineering, streets and refuse and recycling in the sum of £1.6 million over the next four year period. The purchase of these veh</w:t>
      </w:r>
      <w:r w:rsidR="009723B0">
        <w:t>ic</w:t>
      </w:r>
      <w:r w:rsidR="005D0A74">
        <w:t xml:space="preserve">les by the Council will be part funded by this grant based on </w:t>
      </w:r>
      <w:r w:rsidR="00493830">
        <w:t xml:space="preserve">depreciation costs, </w:t>
      </w:r>
      <w:r w:rsidR="005D0A74">
        <w:t xml:space="preserve">over the </w:t>
      </w:r>
      <w:r w:rsidR="00493830">
        <w:t xml:space="preserve">lifetime of the </w:t>
      </w:r>
      <w:r w:rsidR="005D0A74">
        <w:t>vehicles</w:t>
      </w:r>
      <w:r w:rsidR="00493830">
        <w:t xml:space="preserve"> (maximum 3 years).</w:t>
      </w:r>
    </w:p>
    <w:p w:rsidR="00493830" w:rsidRPr="00222A4B" w:rsidRDefault="00493830" w:rsidP="00FF2D64">
      <w:pPr>
        <w:pStyle w:val="ListParagraph"/>
        <w:numPr>
          <w:ilvl w:val="0"/>
          <w:numId w:val="8"/>
        </w:numPr>
        <w:jc w:val="both"/>
        <w:rPr>
          <w:rFonts w:cs="Arial"/>
        </w:rPr>
      </w:pPr>
      <w:r>
        <w:t xml:space="preserve">Assets purchased by the grant funding must </w:t>
      </w:r>
      <w:r w:rsidR="00A77E2D">
        <w:t xml:space="preserve">have a useable life of at least one year. </w:t>
      </w:r>
    </w:p>
    <w:p w:rsidR="00DE711F" w:rsidRPr="00222A4B" w:rsidRDefault="00760162" w:rsidP="00FF2D64">
      <w:pPr>
        <w:pStyle w:val="ListParagraph"/>
        <w:numPr>
          <w:ilvl w:val="0"/>
          <w:numId w:val="8"/>
        </w:numPr>
        <w:jc w:val="both"/>
        <w:rPr>
          <w:rFonts w:cs="Arial"/>
        </w:rPr>
      </w:pPr>
      <w:r w:rsidRPr="00222A4B">
        <w:rPr>
          <w:color w:val="auto"/>
        </w:rPr>
        <w:t xml:space="preserve">There will be a loss of </w:t>
      </w:r>
      <w:r w:rsidR="005D0A74" w:rsidRPr="00222A4B">
        <w:rPr>
          <w:color w:val="auto"/>
        </w:rPr>
        <w:t xml:space="preserve">an estimated </w:t>
      </w:r>
      <w:r w:rsidRPr="00222A4B">
        <w:rPr>
          <w:color w:val="auto"/>
        </w:rPr>
        <w:t>£10k pa car parking revenue at Redbridge P</w:t>
      </w:r>
      <w:r w:rsidR="00BD1FE8">
        <w:rPr>
          <w:color w:val="auto"/>
        </w:rPr>
        <w:t>&amp;R</w:t>
      </w:r>
      <w:r w:rsidR="00FC3CA7">
        <w:rPr>
          <w:color w:val="auto"/>
        </w:rPr>
        <w:t xml:space="preserve"> </w:t>
      </w:r>
      <w:r w:rsidR="00434F86" w:rsidRPr="00222A4B">
        <w:rPr>
          <w:color w:val="auto"/>
        </w:rPr>
        <w:t xml:space="preserve">for </w:t>
      </w:r>
      <w:r w:rsidRPr="00222A4B">
        <w:rPr>
          <w:color w:val="auto"/>
        </w:rPr>
        <w:t xml:space="preserve">20 spaces </w:t>
      </w:r>
      <w:r w:rsidR="00434F86" w:rsidRPr="00222A4B">
        <w:rPr>
          <w:color w:val="auto"/>
        </w:rPr>
        <w:t>to be used</w:t>
      </w:r>
      <w:r w:rsidRPr="00222A4B">
        <w:rPr>
          <w:color w:val="auto"/>
        </w:rPr>
        <w:t xml:space="preserve"> for ultra-rapid charg</w:t>
      </w:r>
      <w:r w:rsidR="00434F86" w:rsidRPr="00222A4B">
        <w:rPr>
          <w:color w:val="auto"/>
        </w:rPr>
        <w:t xml:space="preserve">ing.  </w:t>
      </w:r>
    </w:p>
    <w:p w:rsidR="00DE711F" w:rsidRPr="00222A4B" w:rsidRDefault="005D0A74" w:rsidP="00FF2D64">
      <w:pPr>
        <w:pStyle w:val="ListParagraph"/>
        <w:numPr>
          <w:ilvl w:val="0"/>
          <w:numId w:val="8"/>
        </w:numPr>
        <w:jc w:val="both"/>
        <w:rPr>
          <w:rFonts w:cs="Arial"/>
        </w:rPr>
      </w:pPr>
      <w:r w:rsidRPr="00222A4B">
        <w:rPr>
          <w:color w:val="auto"/>
        </w:rPr>
        <w:t>M</w:t>
      </w:r>
      <w:r w:rsidR="00DE711F" w:rsidRPr="00222A4B">
        <w:rPr>
          <w:color w:val="auto"/>
        </w:rPr>
        <w:t>itigation</w:t>
      </w:r>
      <w:r w:rsidRPr="00222A4B">
        <w:rPr>
          <w:color w:val="auto"/>
        </w:rPr>
        <w:t>s</w:t>
      </w:r>
      <w:r w:rsidR="00DE711F" w:rsidRPr="00222A4B">
        <w:rPr>
          <w:color w:val="auto"/>
        </w:rPr>
        <w:t xml:space="preserve"> to th</w:t>
      </w:r>
      <w:r w:rsidRPr="00222A4B">
        <w:rPr>
          <w:color w:val="auto"/>
        </w:rPr>
        <w:t>e</w:t>
      </w:r>
      <w:r w:rsidR="00DE711F" w:rsidRPr="00222A4B">
        <w:rPr>
          <w:color w:val="auto"/>
        </w:rPr>
        <w:t xml:space="preserve"> loss </w:t>
      </w:r>
      <w:r w:rsidRPr="00222A4B">
        <w:rPr>
          <w:color w:val="auto"/>
        </w:rPr>
        <w:t>of car parking income</w:t>
      </w:r>
      <w:r w:rsidR="00F83BCF" w:rsidRPr="00222A4B">
        <w:rPr>
          <w:color w:val="auto"/>
        </w:rPr>
        <w:t xml:space="preserve"> and other factors to be taken into account</w:t>
      </w:r>
      <w:r w:rsidRPr="00222A4B">
        <w:rPr>
          <w:color w:val="auto"/>
        </w:rPr>
        <w:t xml:space="preserve"> include </w:t>
      </w:r>
      <w:r w:rsidR="00DE711F" w:rsidRPr="00222A4B">
        <w:rPr>
          <w:color w:val="auto"/>
        </w:rPr>
        <w:t>:</w:t>
      </w:r>
    </w:p>
    <w:p w:rsidR="00DE711F" w:rsidRPr="00222A4B" w:rsidRDefault="00DE711F" w:rsidP="009C2BEA">
      <w:pPr>
        <w:pStyle w:val="ListParagraph"/>
        <w:numPr>
          <w:ilvl w:val="1"/>
          <w:numId w:val="11"/>
        </w:numPr>
        <w:jc w:val="both"/>
        <w:rPr>
          <w:color w:val="auto"/>
        </w:rPr>
      </w:pPr>
      <w:r w:rsidRPr="00222A4B">
        <w:rPr>
          <w:color w:val="auto"/>
        </w:rPr>
        <w:t>Rapid charging f</w:t>
      </w:r>
      <w:r w:rsidR="00221901" w:rsidRPr="00222A4B">
        <w:rPr>
          <w:color w:val="auto"/>
        </w:rPr>
        <w:t>acilities are essential to support the Zero Emissions Zone and support</w:t>
      </w:r>
      <w:r w:rsidRPr="00222A4B">
        <w:rPr>
          <w:color w:val="auto"/>
        </w:rPr>
        <w:t xml:space="preserve"> </w:t>
      </w:r>
      <w:r w:rsidR="00FC3CA7">
        <w:rPr>
          <w:color w:val="auto"/>
        </w:rPr>
        <w:t xml:space="preserve">OCC </w:t>
      </w:r>
      <w:r w:rsidRPr="00222A4B">
        <w:rPr>
          <w:color w:val="auto"/>
        </w:rPr>
        <w:t xml:space="preserve">to meet its Air Quality and </w:t>
      </w:r>
      <w:r w:rsidR="00221901" w:rsidRPr="00222A4B">
        <w:rPr>
          <w:color w:val="auto"/>
        </w:rPr>
        <w:t>Carbon R</w:t>
      </w:r>
      <w:r w:rsidRPr="00222A4B">
        <w:rPr>
          <w:color w:val="auto"/>
        </w:rPr>
        <w:t xml:space="preserve">eduction targets. </w:t>
      </w:r>
    </w:p>
    <w:p w:rsidR="00DE711F" w:rsidRPr="00222A4B" w:rsidRDefault="00434F86" w:rsidP="009C2BEA">
      <w:pPr>
        <w:pStyle w:val="ListParagraph"/>
        <w:numPr>
          <w:ilvl w:val="1"/>
          <w:numId w:val="11"/>
        </w:numPr>
        <w:rPr>
          <w:rFonts w:cs="Arial"/>
        </w:rPr>
      </w:pPr>
      <w:r w:rsidRPr="00222A4B">
        <w:rPr>
          <w:color w:val="auto"/>
        </w:rPr>
        <w:t>S</w:t>
      </w:r>
      <w:r w:rsidR="00F62D73" w:rsidRPr="00222A4B">
        <w:rPr>
          <w:color w:val="auto"/>
        </w:rPr>
        <w:t xml:space="preserve">hort stop (10-30 minute charging) could drive </w:t>
      </w:r>
      <w:r w:rsidR="00DE711F" w:rsidRPr="00222A4B">
        <w:rPr>
          <w:color w:val="auto"/>
        </w:rPr>
        <w:t xml:space="preserve">income generating opportunities </w:t>
      </w:r>
      <w:r w:rsidR="00F62D73" w:rsidRPr="00222A4B">
        <w:rPr>
          <w:color w:val="auto"/>
        </w:rPr>
        <w:t xml:space="preserve">such as a café </w:t>
      </w:r>
      <w:r w:rsidR="00DE711F" w:rsidRPr="00222A4B">
        <w:rPr>
          <w:color w:val="auto"/>
        </w:rPr>
        <w:t>or other short stay retail opportunities</w:t>
      </w:r>
      <w:r w:rsidR="00F62D73" w:rsidRPr="00222A4B">
        <w:rPr>
          <w:color w:val="auto"/>
        </w:rPr>
        <w:t xml:space="preserve">. </w:t>
      </w:r>
    </w:p>
    <w:p w:rsidR="00DE711F" w:rsidRPr="00222A4B" w:rsidRDefault="00F62D73" w:rsidP="009C2BEA">
      <w:pPr>
        <w:pStyle w:val="ListParagraph"/>
        <w:numPr>
          <w:ilvl w:val="1"/>
          <w:numId w:val="11"/>
        </w:numPr>
        <w:rPr>
          <w:rFonts w:cs="Arial"/>
        </w:rPr>
      </w:pPr>
      <w:r w:rsidRPr="00222A4B">
        <w:rPr>
          <w:color w:val="auto"/>
        </w:rPr>
        <w:t xml:space="preserve">There is also opportunity for income generation via marketing on chargers. </w:t>
      </w:r>
    </w:p>
    <w:p w:rsidR="00CC292A" w:rsidRPr="00CC292A" w:rsidRDefault="00434F86" w:rsidP="009C2BEA">
      <w:pPr>
        <w:pStyle w:val="ListParagraph"/>
        <w:numPr>
          <w:ilvl w:val="1"/>
          <w:numId w:val="11"/>
        </w:numPr>
        <w:rPr>
          <w:rFonts w:cs="Arial"/>
          <w:color w:val="auto"/>
        </w:rPr>
      </w:pPr>
      <w:r w:rsidRPr="00222A4B">
        <w:rPr>
          <w:color w:val="auto"/>
        </w:rPr>
        <w:t>The 10MW</w:t>
      </w:r>
      <w:r w:rsidR="00DE711F" w:rsidRPr="00222A4B">
        <w:rPr>
          <w:color w:val="auto"/>
        </w:rPr>
        <w:t>H</w:t>
      </w:r>
      <w:r w:rsidRPr="00222A4B">
        <w:rPr>
          <w:color w:val="auto"/>
        </w:rPr>
        <w:t xml:space="preserve"> electric cabling required for the </w:t>
      </w:r>
      <w:proofErr w:type="spellStart"/>
      <w:r w:rsidRPr="00222A4B">
        <w:rPr>
          <w:color w:val="auto"/>
        </w:rPr>
        <w:t>Superhub</w:t>
      </w:r>
      <w:proofErr w:type="spellEnd"/>
      <w:r w:rsidRPr="00222A4B">
        <w:rPr>
          <w:color w:val="auto"/>
        </w:rPr>
        <w:t xml:space="preserve"> will negate costs for</w:t>
      </w:r>
      <w:r w:rsidR="00DE711F" w:rsidRPr="00222A4B">
        <w:rPr>
          <w:color w:val="auto"/>
        </w:rPr>
        <w:t xml:space="preserve"> upgrading electric capacity in the future. Redbridge currently only has a 69KWH supply.</w:t>
      </w:r>
      <w:r w:rsidR="00DE711F" w:rsidRPr="00222A4B">
        <w:rPr>
          <w:color w:val="FF0000"/>
        </w:rPr>
        <w:t xml:space="preserve"> </w:t>
      </w:r>
      <w:r w:rsidR="00DE711F" w:rsidRPr="00222A4B">
        <w:rPr>
          <w:color w:val="auto"/>
        </w:rPr>
        <w:t>(For example</w:t>
      </w:r>
      <w:r w:rsidR="00222A4B" w:rsidRPr="00222A4B">
        <w:rPr>
          <w:color w:val="auto"/>
        </w:rPr>
        <w:t>,</w:t>
      </w:r>
      <w:r w:rsidR="00FD788A">
        <w:rPr>
          <w:color w:val="auto"/>
        </w:rPr>
        <w:t xml:space="preserve"> at </w:t>
      </w:r>
      <w:proofErr w:type="spellStart"/>
      <w:r w:rsidR="00FD788A">
        <w:rPr>
          <w:color w:val="auto"/>
        </w:rPr>
        <w:t>Seacourt</w:t>
      </w:r>
      <w:proofErr w:type="spellEnd"/>
      <w:r w:rsidR="00FD788A">
        <w:rPr>
          <w:color w:val="auto"/>
        </w:rPr>
        <w:t xml:space="preserve"> P&amp;R a recent estimate</w:t>
      </w:r>
      <w:r w:rsidR="00E515F8" w:rsidRPr="00222A4B">
        <w:rPr>
          <w:color w:val="auto"/>
        </w:rPr>
        <w:t xml:space="preserve"> for upgrading capacity </w:t>
      </w:r>
      <w:r w:rsidR="00D34EBA" w:rsidRPr="00222A4B">
        <w:rPr>
          <w:color w:val="auto"/>
        </w:rPr>
        <w:t>was over £50</w:t>
      </w:r>
      <w:r w:rsidR="00DE711F" w:rsidRPr="00222A4B">
        <w:rPr>
          <w:color w:val="auto"/>
        </w:rPr>
        <w:t xml:space="preserve">k). </w:t>
      </w: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Pr="00CC292A" w:rsidRDefault="00CC292A" w:rsidP="00CC292A">
      <w:pPr>
        <w:pStyle w:val="ListParagraph"/>
        <w:numPr>
          <w:ilvl w:val="0"/>
          <w:numId w:val="0"/>
        </w:numPr>
        <w:ind w:left="720"/>
        <w:rPr>
          <w:rFonts w:cs="Arial"/>
          <w:color w:val="auto"/>
        </w:rPr>
      </w:pPr>
    </w:p>
    <w:p w:rsidR="00CE7ED9" w:rsidRPr="00222A4B" w:rsidRDefault="00CE7ED9" w:rsidP="00CC292A">
      <w:pPr>
        <w:rPr>
          <w:u w:val="single"/>
        </w:rPr>
      </w:pPr>
      <w:r w:rsidRPr="00222A4B">
        <w:rPr>
          <w:u w:val="single"/>
        </w:rPr>
        <w:t>Grant Breakdown (Table 1)</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126"/>
        <w:gridCol w:w="2977"/>
        <w:gridCol w:w="2945"/>
      </w:tblGrid>
      <w:tr w:rsidR="00E427B0" w:rsidRPr="00F94FF1" w:rsidTr="00FD788A">
        <w:trPr>
          <w:trHeight w:val="544"/>
          <w:jc w:val="center"/>
        </w:trPr>
        <w:tc>
          <w:tcPr>
            <w:tcW w:w="1302" w:type="dxa"/>
            <w:shd w:val="clear" w:color="auto" w:fill="auto"/>
            <w:vAlign w:val="center"/>
            <w:hideMark/>
          </w:tcPr>
          <w:p w:rsidR="00E427B0" w:rsidRPr="00FD788A" w:rsidRDefault="00FD788A" w:rsidP="00FD788A">
            <w:pPr>
              <w:ind w:left="360" w:hanging="360"/>
              <w:jc w:val="center"/>
              <w:rPr>
                <w:rFonts w:ascii="Calibri" w:hAnsi="Calibri" w:cs="Calibri"/>
                <w:b/>
                <w:bCs/>
                <w:color w:val="auto"/>
                <w:sz w:val="22"/>
                <w:szCs w:val="22"/>
              </w:rPr>
            </w:pPr>
            <w:r>
              <w:rPr>
                <w:rFonts w:ascii="Calibri" w:hAnsi="Calibri" w:cs="Calibri"/>
                <w:b/>
                <w:bCs/>
                <w:color w:val="auto"/>
                <w:sz w:val="22"/>
                <w:szCs w:val="22"/>
              </w:rPr>
              <w:t>Funding Type</w:t>
            </w:r>
          </w:p>
        </w:tc>
        <w:tc>
          <w:tcPr>
            <w:tcW w:w="2126" w:type="dxa"/>
            <w:shd w:val="clear" w:color="auto" w:fill="auto"/>
            <w:vAlign w:val="center"/>
            <w:hideMark/>
          </w:tcPr>
          <w:p w:rsidR="00E427B0" w:rsidRPr="00FD788A" w:rsidRDefault="00E427B0" w:rsidP="00FD788A">
            <w:pPr>
              <w:jc w:val="center"/>
              <w:rPr>
                <w:rFonts w:ascii="Calibri" w:hAnsi="Calibri" w:cs="Calibri"/>
                <w:b/>
                <w:bCs/>
                <w:color w:val="auto"/>
                <w:sz w:val="22"/>
                <w:szCs w:val="22"/>
              </w:rPr>
            </w:pPr>
            <w:r w:rsidRPr="00FD788A">
              <w:rPr>
                <w:rFonts w:ascii="Calibri" w:hAnsi="Calibri" w:cs="Calibri"/>
                <w:b/>
                <w:bCs/>
                <w:color w:val="auto"/>
                <w:sz w:val="22"/>
                <w:szCs w:val="22"/>
              </w:rPr>
              <w:t>Total to claim</w:t>
            </w:r>
          </w:p>
        </w:tc>
        <w:tc>
          <w:tcPr>
            <w:tcW w:w="2977" w:type="dxa"/>
            <w:shd w:val="clear" w:color="auto" w:fill="auto"/>
            <w:vAlign w:val="center"/>
          </w:tcPr>
          <w:p w:rsidR="00E427B0" w:rsidRPr="00FD788A" w:rsidRDefault="00E427B0" w:rsidP="00FD788A">
            <w:pPr>
              <w:jc w:val="center"/>
              <w:rPr>
                <w:rFonts w:ascii="Calibri" w:hAnsi="Calibri" w:cs="Calibri"/>
                <w:b/>
                <w:bCs/>
                <w:color w:val="auto"/>
                <w:sz w:val="22"/>
                <w:szCs w:val="22"/>
              </w:rPr>
            </w:pPr>
            <w:r w:rsidRPr="00FD788A">
              <w:rPr>
                <w:rFonts w:ascii="Calibri" w:hAnsi="Calibri" w:cs="Calibri"/>
                <w:b/>
                <w:bCs/>
                <w:color w:val="auto"/>
                <w:sz w:val="22"/>
                <w:szCs w:val="22"/>
              </w:rPr>
              <w:t>Description</w:t>
            </w:r>
          </w:p>
        </w:tc>
        <w:tc>
          <w:tcPr>
            <w:tcW w:w="2945" w:type="dxa"/>
            <w:shd w:val="clear" w:color="auto" w:fill="auto"/>
            <w:vAlign w:val="center"/>
          </w:tcPr>
          <w:p w:rsidR="00E427B0" w:rsidRPr="00FD788A" w:rsidRDefault="00E427B0" w:rsidP="00FD788A">
            <w:pPr>
              <w:ind w:left="360" w:hanging="360"/>
              <w:jc w:val="center"/>
              <w:rPr>
                <w:rFonts w:ascii="Calibri" w:hAnsi="Calibri" w:cs="Calibri"/>
                <w:b/>
                <w:bCs/>
                <w:color w:val="auto"/>
                <w:sz w:val="22"/>
                <w:szCs w:val="22"/>
              </w:rPr>
            </w:pPr>
            <w:r w:rsidRPr="00FD788A">
              <w:rPr>
                <w:rFonts w:ascii="Calibri" w:hAnsi="Calibri" w:cs="Calibri"/>
                <w:b/>
                <w:bCs/>
                <w:color w:val="auto"/>
                <w:sz w:val="22"/>
                <w:szCs w:val="22"/>
              </w:rPr>
              <w:t>Financial Notes</w:t>
            </w:r>
          </w:p>
        </w:tc>
      </w:tr>
      <w:tr w:rsidR="00E427B0" w:rsidRPr="00F94FF1" w:rsidTr="00FD788A">
        <w:trPr>
          <w:trHeight w:val="300"/>
          <w:jc w:val="center"/>
        </w:trPr>
        <w:tc>
          <w:tcPr>
            <w:tcW w:w="1302" w:type="dxa"/>
            <w:shd w:val="clear" w:color="auto" w:fill="auto"/>
            <w:noWrap/>
            <w:vAlign w:val="center"/>
            <w:hideMark/>
          </w:tcPr>
          <w:p w:rsidR="00E427B0" w:rsidRPr="00222A4B" w:rsidRDefault="00FD788A" w:rsidP="00FD788A">
            <w:pPr>
              <w:spacing w:after="0"/>
              <w:rPr>
                <w:rFonts w:ascii="Calibri" w:hAnsi="Calibri" w:cs="Calibri"/>
                <w:b/>
                <w:bCs/>
                <w:sz w:val="22"/>
                <w:szCs w:val="22"/>
              </w:rPr>
            </w:pPr>
            <w:r>
              <w:rPr>
                <w:rFonts w:ascii="Calibri" w:hAnsi="Calibri" w:cs="Calibri"/>
                <w:b/>
                <w:bCs/>
                <w:sz w:val="22"/>
                <w:szCs w:val="22"/>
              </w:rPr>
              <w:t xml:space="preserve">Revenue </w:t>
            </w:r>
            <w:r w:rsidR="00CC6A35" w:rsidRPr="00222A4B">
              <w:rPr>
                <w:rFonts w:ascii="Calibri" w:hAnsi="Calibri" w:cs="Calibri"/>
                <w:b/>
                <w:bCs/>
                <w:sz w:val="22"/>
                <w:szCs w:val="22"/>
              </w:rPr>
              <w:t>Funding</w:t>
            </w:r>
          </w:p>
        </w:tc>
        <w:tc>
          <w:tcPr>
            <w:tcW w:w="2126" w:type="dxa"/>
            <w:shd w:val="clear" w:color="auto" w:fill="auto"/>
            <w:noWrap/>
            <w:vAlign w:val="center"/>
            <w:hideMark/>
          </w:tcPr>
          <w:p w:rsidR="00E427B0" w:rsidRPr="00222A4B" w:rsidRDefault="00CE7ED9" w:rsidP="00222A4B">
            <w:pPr>
              <w:ind w:left="360"/>
              <w:jc w:val="both"/>
              <w:rPr>
                <w:rFonts w:ascii="Calibri" w:hAnsi="Calibri" w:cs="Calibri"/>
                <w:sz w:val="22"/>
                <w:szCs w:val="22"/>
              </w:rPr>
            </w:pPr>
            <w:r w:rsidRPr="00222A4B">
              <w:rPr>
                <w:rFonts w:ascii="Calibri" w:hAnsi="Calibri" w:cs="Calibri"/>
                <w:sz w:val="22"/>
                <w:szCs w:val="22"/>
              </w:rPr>
              <w:t xml:space="preserve">£    </w:t>
            </w:r>
            <w:r w:rsidR="00FD788A">
              <w:rPr>
                <w:rFonts w:ascii="Calibri" w:hAnsi="Calibri" w:cs="Calibri"/>
                <w:sz w:val="22"/>
                <w:szCs w:val="22"/>
              </w:rPr>
              <w:t xml:space="preserve">       </w:t>
            </w:r>
            <w:r w:rsidR="00CC6A35" w:rsidRPr="00222A4B">
              <w:rPr>
                <w:rFonts w:ascii="Calibri" w:hAnsi="Calibri" w:cs="Calibri"/>
                <w:sz w:val="22"/>
                <w:szCs w:val="22"/>
              </w:rPr>
              <w:t>455,931</w:t>
            </w:r>
          </w:p>
        </w:tc>
        <w:tc>
          <w:tcPr>
            <w:tcW w:w="2977" w:type="dxa"/>
            <w:vAlign w:val="center"/>
          </w:tcPr>
          <w:p w:rsidR="00E427B0" w:rsidRPr="00222A4B" w:rsidRDefault="00CC6A35" w:rsidP="00FD788A">
            <w:pPr>
              <w:spacing w:after="0"/>
              <w:jc w:val="center"/>
              <w:rPr>
                <w:rFonts w:ascii="Calibri" w:hAnsi="Calibri" w:cs="Calibri"/>
                <w:sz w:val="22"/>
                <w:szCs w:val="22"/>
              </w:rPr>
            </w:pPr>
            <w:r w:rsidRPr="00222A4B">
              <w:rPr>
                <w:rFonts w:ascii="Calibri" w:hAnsi="Calibri" w:cs="Calibri"/>
                <w:sz w:val="22"/>
                <w:szCs w:val="22"/>
              </w:rPr>
              <w:t>Other Costs covered by Grant funding</w:t>
            </w:r>
          </w:p>
        </w:tc>
        <w:tc>
          <w:tcPr>
            <w:tcW w:w="2945" w:type="dxa"/>
            <w:vAlign w:val="center"/>
          </w:tcPr>
          <w:p w:rsidR="00E427B0" w:rsidRPr="00222A4B" w:rsidRDefault="00CC6A35" w:rsidP="00FD788A">
            <w:pPr>
              <w:spacing w:after="0"/>
              <w:jc w:val="both"/>
              <w:rPr>
                <w:rFonts w:ascii="Calibri" w:hAnsi="Calibri" w:cs="Calibri"/>
                <w:sz w:val="22"/>
                <w:szCs w:val="22"/>
              </w:rPr>
            </w:pPr>
            <w:r w:rsidRPr="00222A4B">
              <w:rPr>
                <w:rFonts w:ascii="Calibri" w:hAnsi="Calibri" w:cs="Calibri"/>
                <w:sz w:val="22"/>
                <w:szCs w:val="22"/>
              </w:rPr>
              <w:t>Project management staff costs</w:t>
            </w:r>
            <w:r w:rsidR="0080347B" w:rsidRPr="00222A4B">
              <w:rPr>
                <w:rFonts w:ascii="Calibri" w:hAnsi="Calibri" w:cs="Calibri"/>
                <w:sz w:val="22"/>
                <w:szCs w:val="22"/>
              </w:rPr>
              <w:t xml:space="preserve">, Consultancy fees for Energy Systems Catapult, </w:t>
            </w:r>
            <w:r w:rsidRPr="00222A4B">
              <w:rPr>
                <w:rFonts w:ascii="Calibri" w:hAnsi="Calibri" w:cs="Calibri"/>
                <w:sz w:val="22"/>
                <w:szCs w:val="22"/>
              </w:rPr>
              <w:t>depot cabling</w:t>
            </w:r>
            <w:r w:rsidR="0080347B" w:rsidRPr="00222A4B">
              <w:rPr>
                <w:rFonts w:ascii="Calibri" w:hAnsi="Calibri" w:cs="Calibri"/>
                <w:sz w:val="22"/>
                <w:szCs w:val="22"/>
              </w:rPr>
              <w:t xml:space="preserve"> works</w:t>
            </w:r>
            <w:r w:rsidRPr="00222A4B">
              <w:rPr>
                <w:rFonts w:ascii="Calibri" w:hAnsi="Calibri" w:cs="Calibri"/>
                <w:sz w:val="22"/>
                <w:szCs w:val="22"/>
              </w:rPr>
              <w:t xml:space="preserve">, travel, events and support measures to encourage EV uptake for Taxi drivers. </w:t>
            </w:r>
          </w:p>
        </w:tc>
      </w:tr>
      <w:tr w:rsidR="00E427B0" w:rsidRPr="00F94FF1" w:rsidTr="00FD788A">
        <w:trPr>
          <w:trHeight w:val="300"/>
          <w:jc w:val="center"/>
        </w:trPr>
        <w:tc>
          <w:tcPr>
            <w:tcW w:w="1302" w:type="dxa"/>
            <w:shd w:val="clear" w:color="auto" w:fill="auto"/>
            <w:noWrap/>
            <w:vAlign w:val="center"/>
            <w:hideMark/>
          </w:tcPr>
          <w:p w:rsidR="00E427B0" w:rsidRPr="00222A4B" w:rsidRDefault="00E427B0" w:rsidP="00FD788A">
            <w:pPr>
              <w:spacing w:after="0"/>
              <w:rPr>
                <w:rFonts w:ascii="Calibri" w:hAnsi="Calibri" w:cs="Calibri"/>
                <w:b/>
                <w:bCs/>
                <w:sz w:val="22"/>
                <w:szCs w:val="22"/>
              </w:rPr>
            </w:pPr>
            <w:r w:rsidRPr="00222A4B">
              <w:rPr>
                <w:rFonts w:ascii="Calibri" w:hAnsi="Calibri" w:cs="Calibri"/>
                <w:b/>
                <w:bCs/>
                <w:sz w:val="22"/>
                <w:szCs w:val="22"/>
              </w:rPr>
              <w:t xml:space="preserve">Capital </w:t>
            </w:r>
            <w:r w:rsidR="005B35BA" w:rsidRPr="00222A4B">
              <w:rPr>
                <w:rFonts w:ascii="Calibri" w:hAnsi="Calibri" w:cs="Calibri"/>
                <w:b/>
                <w:bCs/>
                <w:sz w:val="22"/>
                <w:szCs w:val="22"/>
              </w:rPr>
              <w:t xml:space="preserve">Funding </w:t>
            </w:r>
            <w:r w:rsidR="00493830" w:rsidRPr="00222A4B">
              <w:rPr>
                <w:rFonts w:ascii="Calibri" w:hAnsi="Calibri" w:cs="Calibri"/>
                <w:b/>
                <w:bCs/>
                <w:sz w:val="22"/>
                <w:szCs w:val="22"/>
              </w:rPr>
              <w:t>(Fleet &amp; Taxi Trial Fleet)</w:t>
            </w:r>
          </w:p>
        </w:tc>
        <w:tc>
          <w:tcPr>
            <w:tcW w:w="2126" w:type="dxa"/>
            <w:shd w:val="clear" w:color="auto" w:fill="auto"/>
            <w:noWrap/>
            <w:vAlign w:val="center"/>
            <w:hideMark/>
          </w:tcPr>
          <w:p w:rsidR="00E427B0" w:rsidRPr="00222A4B" w:rsidRDefault="00CC6A35" w:rsidP="00222A4B">
            <w:pPr>
              <w:ind w:left="360"/>
              <w:rPr>
                <w:rFonts w:ascii="Calibri" w:hAnsi="Calibri" w:cs="Calibri"/>
                <w:sz w:val="22"/>
                <w:szCs w:val="22"/>
              </w:rPr>
            </w:pPr>
            <w:r w:rsidRPr="00222A4B">
              <w:rPr>
                <w:rFonts w:ascii="Calibri" w:hAnsi="Calibri" w:cs="Calibri"/>
                <w:sz w:val="22"/>
                <w:szCs w:val="22"/>
              </w:rPr>
              <w:t>£        1,159,688</w:t>
            </w:r>
            <w:r w:rsidR="00E427B0" w:rsidRPr="00222A4B">
              <w:rPr>
                <w:rFonts w:ascii="Calibri" w:hAnsi="Calibri" w:cs="Calibri"/>
                <w:sz w:val="22"/>
                <w:szCs w:val="22"/>
              </w:rPr>
              <w:t xml:space="preserve"> </w:t>
            </w:r>
          </w:p>
        </w:tc>
        <w:tc>
          <w:tcPr>
            <w:tcW w:w="2977" w:type="dxa"/>
            <w:vAlign w:val="center"/>
          </w:tcPr>
          <w:p w:rsidR="00E427B0" w:rsidRPr="00222A4B" w:rsidRDefault="00493830" w:rsidP="00FD788A">
            <w:pPr>
              <w:spacing w:after="0"/>
              <w:rPr>
                <w:rFonts w:ascii="Calibri" w:hAnsi="Calibri" w:cs="Calibri"/>
                <w:sz w:val="22"/>
                <w:szCs w:val="22"/>
              </w:rPr>
            </w:pPr>
            <w:r w:rsidRPr="00222A4B">
              <w:rPr>
                <w:rFonts w:ascii="Calibri" w:hAnsi="Calibri" w:cs="Calibri"/>
                <w:sz w:val="22"/>
                <w:szCs w:val="22"/>
              </w:rPr>
              <w:t>F</w:t>
            </w:r>
            <w:r w:rsidR="00E427B0" w:rsidRPr="00222A4B">
              <w:rPr>
                <w:rFonts w:ascii="Calibri" w:hAnsi="Calibri" w:cs="Calibri"/>
                <w:sz w:val="22"/>
                <w:szCs w:val="22"/>
              </w:rPr>
              <w:t xml:space="preserve">or </w:t>
            </w:r>
            <w:r w:rsidR="00CC6A35" w:rsidRPr="00222A4B">
              <w:rPr>
                <w:rFonts w:ascii="Calibri" w:hAnsi="Calibri" w:cs="Calibri"/>
                <w:sz w:val="22"/>
                <w:szCs w:val="22"/>
              </w:rPr>
              <w:t xml:space="preserve">OCC </w:t>
            </w:r>
            <w:r w:rsidR="00E427B0" w:rsidRPr="00222A4B">
              <w:rPr>
                <w:rFonts w:ascii="Calibri" w:hAnsi="Calibri" w:cs="Calibri"/>
                <w:sz w:val="22"/>
                <w:szCs w:val="22"/>
              </w:rPr>
              <w:t xml:space="preserve">electric </w:t>
            </w:r>
            <w:r w:rsidR="00097AAF" w:rsidRPr="00222A4B">
              <w:rPr>
                <w:rFonts w:ascii="Calibri" w:hAnsi="Calibri" w:cs="Calibri"/>
                <w:sz w:val="22"/>
                <w:szCs w:val="22"/>
              </w:rPr>
              <w:t xml:space="preserve">fleet </w:t>
            </w:r>
            <w:r w:rsidR="00CE7ED9" w:rsidRPr="00222A4B">
              <w:rPr>
                <w:rFonts w:ascii="Calibri" w:hAnsi="Calibri" w:cs="Calibri"/>
                <w:sz w:val="22"/>
                <w:szCs w:val="22"/>
              </w:rPr>
              <w:t xml:space="preserve">(such as refuse vehicle, sweeper, tippers, vans </w:t>
            </w:r>
            <w:proofErr w:type="spellStart"/>
            <w:r w:rsidR="00CE7ED9" w:rsidRPr="00222A4B">
              <w:rPr>
                <w:rFonts w:ascii="Calibri" w:hAnsi="Calibri" w:cs="Calibri"/>
                <w:sz w:val="22"/>
                <w:szCs w:val="22"/>
              </w:rPr>
              <w:t>etc</w:t>
            </w:r>
            <w:proofErr w:type="spellEnd"/>
            <w:r w:rsidR="00CE7ED9" w:rsidRPr="00222A4B">
              <w:rPr>
                <w:rFonts w:ascii="Calibri" w:hAnsi="Calibri" w:cs="Calibri"/>
                <w:sz w:val="22"/>
                <w:szCs w:val="22"/>
              </w:rPr>
              <w:t>) and</w:t>
            </w:r>
            <w:r w:rsidR="00E427B0" w:rsidRPr="00222A4B">
              <w:rPr>
                <w:rFonts w:ascii="Calibri" w:hAnsi="Calibri" w:cs="Calibri"/>
                <w:sz w:val="22"/>
                <w:szCs w:val="22"/>
              </w:rPr>
              <w:t xml:space="preserve"> installation of associated chargers.</w:t>
            </w:r>
          </w:p>
          <w:p w:rsidR="00E427B0" w:rsidRPr="00222A4B" w:rsidRDefault="00E427B0" w:rsidP="00FD788A">
            <w:pPr>
              <w:spacing w:after="0"/>
              <w:rPr>
                <w:rFonts w:ascii="Calibri" w:hAnsi="Calibri" w:cs="Calibri"/>
                <w:sz w:val="22"/>
                <w:szCs w:val="22"/>
              </w:rPr>
            </w:pPr>
            <w:r w:rsidRPr="00222A4B">
              <w:rPr>
                <w:rFonts w:ascii="Calibri" w:hAnsi="Calibri" w:cs="Calibri"/>
                <w:sz w:val="22"/>
                <w:szCs w:val="22"/>
              </w:rPr>
              <w:t xml:space="preserve">Electric Taxi’s for Taxi trial.  </w:t>
            </w:r>
          </w:p>
        </w:tc>
        <w:tc>
          <w:tcPr>
            <w:tcW w:w="2945" w:type="dxa"/>
            <w:vAlign w:val="center"/>
          </w:tcPr>
          <w:p w:rsidR="00E427B0" w:rsidRPr="00222A4B" w:rsidRDefault="00E427B0" w:rsidP="00FD788A">
            <w:pPr>
              <w:spacing w:after="0"/>
              <w:rPr>
                <w:rFonts w:ascii="Calibri" w:hAnsi="Calibri" w:cs="Calibri"/>
                <w:sz w:val="22"/>
                <w:szCs w:val="22"/>
              </w:rPr>
            </w:pPr>
            <w:r w:rsidRPr="00222A4B">
              <w:rPr>
                <w:rFonts w:ascii="Calibri" w:hAnsi="Calibri" w:cs="Calibri"/>
                <w:sz w:val="22"/>
                <w:szCs w:val="22"/>
              </w:rPr>
              <w:t xml:space="preserve">Grant will provide </w:t>
            </w:r>
            <w:r w:rsidR="00CC6A35" w:rsidRPr="00222A4B">
              <w:rPr>
                <w:rFonts w:ascii="Calibri" w:hAnsi="Calibri" w:cs="Calibri"/>
                <w:sz w:val="22"/>
                <w:szCs w:val="22"/>
              </w:rPr>
              <w:t>depreciation costs to be claimed</w:t>
            </w:r>
            <w:r w:rsidRPr="00222A4B">
              <w:rPr>
                <w:rFonts w:ascii="Calibri" w:hAnsi="Calibri" w:cs="Calibri"/>
                <w:sz w:val="22"/>
                <w:szCs w:val="22"/>
              </w:rPr>
              <w:t xml:space="preserve"> </w:t>
            </w:r>
            <w:r w:rsidR="00F62F64" w:rsidRPr="00222A4B">
              <w:rPr>
                <w:rFonts w:ascii="Calibri" w:hAnsi="Calibri" w:cs="Calibri"/>
                <w:sz w:val="22"/>
                <w:szCs w:val="22"/>
              </w:rPr>
              <w:t>(over 3 years)</w:t>
            </w:r>
            <w:r w:rsidR="000A2371" w:rsidRPr="00222A4B">
              <w:rPr>
                <w:rFonts w:ascii="Calibri" w:hAnsi="Calibri" w:cs="Calibri"/>
                <w:sz w:val="22"/>
                <w:szCs w:val="22"/>
              </w:rPr>
              <w:t xml:space="preserve">. </w:t>
            </w:r>
            <w:r w:rsidR="00CC6A35" w:rsidRPr="00222A4B">
              <w:rPr>
                <w:rFonts w:ascii="Calibri" w:hAnsi="Calibri" w:cs="Calibri"/>
                <w:sz w:val="22"/>
                <w:szCs w:val="22"/>
              </w:rPr>
              <w:t xml:space="preserve"> </w:t>
            </w:r>
          </w:p>
          <w:p w:rsidR="00E427B0" w:rsidRDefault="00E427B0" w:rsidP="00FD788A">
            <w:pPr>
              <w:spacing w:after="0"/>
              <w:rPr>
                <w:rFonts w:ascii="Calibri" w:hAnsi="Calibri" w:cs="Calibri"/>
                <w:sz w:val="22"/>
                <w:szCs w:val="22"/>
              </w:rPr>
            </w:pPr>
          </w:p>
        </w:tc>
      </w:tr>
      <w:tr w:rsidR="00E427B0" w:rsidRPr="00F94FF1" w:rsidTr="00FD788A">
        <w:trPr>
          <w:trHeight w:val="300"/>
          <w:jc w:val="center"/>
        </w:trPr>
        <w:tc>
          <w:tcPr>
            <w:tcW w:w="1302" w:type="dxa"/>
            <w:shd w:val="clear" w:color="000000" w:fill="000000"/>
            <w:noWrap/>
            <w:vAlign w:val="bottom"/>
            <w:hideMark/>
          </w:tcPr>
          <w:p w:rsidR="00E427B0" w:rsidRPr="00FD788A" w:rsidRDefault="00E427B0" w:rsidP="00FD788A">
            <w:pPr>
              <w:rPr>
                <w:rFonts w:ascii="Calibri" w:hAnsi="Calibri" w:cs="Calibri"/>
                <w:b/>
                <w:bCs/>
                <w:color w:val="FFFFFF"/>
                <w:sz w:val="22"/>
                <w:szCs w:val="22"/>
              </w:rPr>
            </w:pPr>
            <w:r w:rsidRPr="00FD788A">
              <w:rPr>
                <w:rFonts w:ascii="Calibri" w:hAnsi="Calibri" w:cs="Calibri"/>
                <w:b/>
                <w:bCs/>
                <w:color w:val="FFFFFF"/>
                <w:sz w:val="22"/>
                <w:szCs w:val="22"/>
              </w:rPr>
              <w:t>TOTAL</w:t>
            </w:r>
          </w:p>
        </w:tc>
        <w:tc>
          <w:tcPr>
            <w:tcW w:w="2126" w:type="dxa"/>
            <w:shd w:val="clear" w:color="000000" w:fill="000000"/>
            <w:noWrap/>
            <w:vAlign w:val="bottom"/>
            <w:hideMark/>
          </w:tcPr>
          <w:p w:rsidR="00E427B0" w:rsidRPr="00FD788A" w:rsidRDefault="00097AAF" w:rsidP="00FD788A">
            <w:pPr>
              <w:ind w:left="360" w:hanging="360"/>
              <w:rPr>
                <w:rFonts w:ascii="Calibri" w:hAnsi="Calibri" w:cs="Calibri"/>
                <w:b/>
                <w:bCs/>
                <w:color w:val="FFFFFF"/>
                <w:sz w:val="22"/>
                <w:szCs w:val="22"/>
              </w:rPr>
            </w:pPr>
            <w:r w:rsidRPr="00FD788A">
              <w:rPr>
                <w:rFonts w:ascii="Calibri" w:hAnsi="Calibri" w:cs="Calibri"/>
                <w:b/>
                <w:bCs/>
                <w:color w:val="FFFFFF"/>
                <w:sz w:val="22"/>
                <w:szCs w:val="22"/>
              </w:rPr>
              <w:t xml:space="preserve">£       </w:t>
            </w:r>
            <w:r w:rsidR="00E427B0" w:rsidRPr="00FD788A">
              <w:rPr>
                <w:rFonts w:ascii="Calibri" w:hAnsi="Calibri" w:cs="Calibri"/>
                <w:b/>
                <w:bCs/>
                <w:color w:val="FFFFFF"/>
                <w:sz w:val="22"/>
                <w:szCs w:val="22"/>
              </w:rPr>
              <w:t xml:space="preserve">1,615,168.80 </w:t>
            </w:r>
          </w:p>
        </w:tc>
        <w:tc>
          <w:tcPr>
            <w:tcW w:w="2977" w:type="dxa"/>
            <w:shd w:val="clear" w:color="000000" w:fill="000000"/>
          </w:tcPr>
          <w:p w:rsidR="00E427B0" w:rsidRPr="00FD788A" w:rsidRDefault="00E427B0" w:rsidP="00FD788A">
            <w:pPr>
              <w:ind w:left="360" w:hanging="360"/>
              <w:rPr>
                <w:rFonts w:ascii="Calibri" w:hAnsi="Calibri" w:cs="Calibri"/>
                <w:b/>
                <w:bCs/>
                <w:color w:val="FFFFFF"/>
                <w:sz w:val="22"/>
                <w:szCs w:val="22"/>
              </w:rPr>
            </w:pPr>
          </w:p>
        </w:tc>
        <w:tc>
          <w:tcPr>
            <w:tcW w:w="2945" w:type="dxa"/>
            <w:shd w:val="clear" w:color="000000" w:fill="000000"/>
          </w:tcPr>
          <w:p w:rsidR="00E427B0" w:rsidRPr="00FD788A" w:rsidRDefault="00E427B0" w:rsidP="00FD788A">
            <w:pPr>
              <w:ind w:left="360" w:hanging="360"/>
              <w:rPr>
                <w:rFonts w:ascii="Calibri" w:hAnsi="Calibri" w:cs="Calibri"/>
                <w:b/>
                <w:bCs/>
                <w:color w:val="FFFFFF"/>
                <w:sz w:val="22"/>
                <w:szCs w:val="22"/>
              </w:rPr>
            </w:pPr>
          </w:p>
        </w:tc>
      </w:tr>
    </w:tbl>
    <w:p w:rsidR="00CC6A35" w:rsidRDefault="00CC6A35" w:rsidP="00222A4B">
      <w:pPr>
        <w:pStyle w:val="ListParagraph"/>
        <w:numPr>
          <w:ilvl w:val="0"/>
          <w:numId w:val="0"/>
        </w:numPr>
        <w:ind w:left="426"/>
      </w:pPr>
    </w:p>
    <w:p w:rsidR="0080347B" w:rsidRDefault="0080347B" w:rsidP="00222A4B">
      <w:pPr>
        <w:pStyle w:val="Heading1"/>
      </w:pPr>
      <w:r>
        <w:t>Governance</w:t>
      </w:r>
    </w:p>
    <w:p w:rsidR="00FD788A" w:rsidRDefault="00B07A95" w:rsidP="00FD788A">
      <w:pPr>
        <w:pStyle w:val="ListParagraph"/>
        <w:numPr>
          <w:ilvl w:val="0"/>
          <w:numId w:val="8"/>
        </w:numPr>
        <w:spacing w:after="0"/>
        <w:ind w:left="714" w:hanging="357"/>
        <w:jc w:val="both"/>
      </w:pPr>
      <w:r>
        <w:t xml:space="preserve">The project has </w:t>
      </w:r>
      <w:r w:rsidR="0080347B">
        <w:t>an Oxford-based P</w:t>
      </w:r>
      <w:r w:rsidR="00F83BCF">
        <w:t xml:space="preserve">roject </w:t>
      </w:r>
      <w:r w:rsidR="0080347B">
        <w:t>M</w:t>
      </w:r>
      <w:r w:rsidR="00F83BCF">
        <w:t xml:space="preserve">anagement </w:t>
      </w:r>
      <w:r w:rsidR="0080347B">
        <w:t>O</w:t>
      </w:r>
      <w:r w:rsidR="00F83BCF">
        <w:t>ffice</w:t>
      </w:r>
      <w:r w:rsidR="0080347B">
        <w:t xml:space="preserve"> </w:t>
      </w:r>
      <w:r>
        <w:t xml:space="preserve">(led by Pivot Power) </w:t>
      </w:r>
      <w:r w:rsidR="0080347B">
        <w:t>to lead the overarching project management across all the partners. The OCC resource is solely to liaise with that PMO and coordinate/deliver the OCC parts of the project.</w:t>
      </w:r>
    </w:p>
    <w:p w:rsidR="00FD788A" w:rsidRDefault="00FD788A" w:rsidP="00FD788A">
      <w:pPr>
        <w:pStyle w:val="ListParagraph"/>
        <w:numPr>
          <w:ilvl w:val="0"/>
          <w:numId w:val="0"/>
        </w:numPr>
        <w:ind w:left="720"/>
        <w:jc w:val="both"/>
      </w:pPr>
    </w:p>
    <w:p w:rsidR="0080347B" w:rsidRDefault="00FD788A" w:rsidP="00FD788A">
      <w:pPr>
        <w:pStyle w:val="ListParagraph"/>
        <w:numPr>
          <w:ilvl w:val="0"/>
          <w:numId w:val="8"/>
        </w:numPr>
        <w:jc w:val="both"/>
      </w:pPr>
      <w:r>
        <w:t>T</w:t>
      </w:r>
      <w:r w:rsidR="0080347B">
        <w:t>he project is a consortium of the following partners:</w:t>
      </w:r>
    </w:p>
    <w:tbl>
      <w:tblPr>
        <w:tblStyle w:val="TableGrid"/>
        <w:tblW w:w="0" w:type="auto"/>
        <w:tblInd w:w="720" w:type="dxa"/>
        <w:tblLook w:val="04A0" w:firstRow="1" w:lastRow="0" w:firstColumn="1" w:lastColumn="0" w:noHBand="0" w:noVBand="1"/>
      </w:tblPr>
      <w:tblGrid>
        <w:gridCol w:w="2507"/>
        <w:gridCol w:w="1984"/>
        <w:gridCol w:w="4303"/>
      </w:tblGrid>
      <w:tr w:rsidR="00892E17" w:rsidTr="00FD788A">
        <w:tc>
          <w:tcPr>
            <w:tcW w:w="2507" w:type="dxa"/>
          </w:tcPr>
          <w:p w:rsidR="00892E17" w:rsidRDefault="00892E17" w:rsidP="00FD788A">
            <w:pPr>
              <w:jc w:val="both"/>
            </w:pPr>
            <w:r>
              <w:t>Consortium Partner</w:t>
            </w:r>
          </w:p>
        </w:tc>
        <w:tc>
          <w:tcPr>
            <w:tcW w:w="1984" w:type="dxa"/>
          </w:tcPr>
          <w:p w:rsidR="00892E17" w:rsidRDefault="00892E17" w:rsidP="00FD788A">
            <w:pPr>
              <w:jc w:val="both"/>
            </w:pPr>
            <w:r>
              <w:t>Position</w:t>
            </w:r>
          </w:p>
        </w:tc>
        <w:tc>
          <w:tcPr>
            <w:tcW w:w="4303" w:type="dxa"/>
          </w:tcPr>
          <w:p w:rsidR="00892E17" w:rsidRDefault="00892E17" w:rsidP="00FD788A">
            <w:pPr>
              <w:jc w:val="both"/>
            </w:pPr>
            <w:r>
              <w:t>Role in ESO</w:t>
            </w:r>
          </w:p>
        </w:tc>
      </w:tr>
      <w:tr w:rsidR="00892E17" w:rsidTr="00FD788A">
        <w:tc>
          <w:tcPr>
            <w:tcW w:w="2507" w:type="dxa"/>
          </w:tcPr>
          <w:p w:rsidR="00892E17" w:rsidRDefault="00892E17" w:rsidP="00FD788A">
            <w:pPr>
              <w:jc w:val="both"/>
            </w:pPr>
            <w:r>
              <w:t>Pivot Power LLP</w:t>
            </w:r>
          </w:p>
        </w:tc>
        <w:tc>
          <w:tcPr>
            <w:tcW w:w="1984" w:type="dxa"/>
          </w:tcPr>
          <w:p w:rsidR="00892E17" w:rsidRDefault="00892E17" w:rsidP="00FD788A">
            <w:pPr>
              <w:jc w:val="both"/>
            </w:pPr>
            <w:r>
              <w:t>Project Lead</w:t>
            </w:r>
          </w:p>
        </w:tc>
        <w:tc>
          <w:tcPr>
            <w:tcW w:w="4303" w:type="dxa"/>
          </w:tcPr>
          <w:p w:rsidR="00892E17" w:rsidRDefault="00892E17" w:rsidP="00FD788A">
            <w:pPr>
              <w:jc w:val="both"/>
            </w:pPr>
            <w:r>
              <w:t xml:space="preserve">Cabling, </w:t>
            </w:r>
            <w:r w:rsidR="005142B1">
              <w:t>EV hub, o</w:t>
            </w:r>
            <w:r>
              <w:t>verall Project Management, Raising of Private Equity, Planning, Lithium Ion battery</w:t>
            </w:r>
          </w:p>
        </w:tc>
      </w:tr>
      <w:tr w:rsidR="00892E17" w:rsidTr="00FD788A">
        <w:tc>
          <w:tcPr>
            <w:tcW w:w="2507" w:type="dxa"/>
          </w:tcPr>
          <w:p w:rsidR="00892E17" w:rsidRDefault="00892E17" w:rsidP="00FD788A">
            <w:pPr>
              <w:jc w:val="both"/>
            </w:pPr>
            <w:r>
              <w:t>Habitat Energy Ltd</w:t>
            </w:r>
          </w:p>
        </w:tc>
        <w:tc>
          <w:tcPr>
            <w:tcW w:w="1984" w:type="dxa"/>
          </w:tcPr>
          <w:p w:rsidR="00892E17" w:rsidRDefault="00892E17" w:rsidP="00FD788A">
            <w:pPr>
              <w:jc w:val="both"/>
            </w:pPr>
            <w:r>
              <w:t>Partner</w:t>
            </w:r>
          </w:p>
        </w:tc>
        <w:tc>
          <w:tcPr>
            <w:tcW w:w="4303" w:type="dxa"/>
          </w:tcPr>
          <w:p w:rsidR="00892E17" w:rsidRDefault="00892E17" w:rsidP="00FD788A">
            <w:pPr>
              <w:jc w:val="both"/>
            </w:pPr>
            <w:r>
              <w:t>Software &amp; battery trading methodology</w:t>
            </w:r>
          </w:p>
        </w:tc>
      </w:tr>
      <w:tr w:rsidR="00892E17" w:rsidTr="00FD788A">
        <w:tc>
          <w:tcPr>
            <w:tcW w:w="2507" w:type="dxa"/>
          </w:tcPr>
          <w:p w:rsidR="00892E17" w:rsidRDefault="00892E17" w:rsidP="00FD788A">
            <w:pPr>
              <w:jc w:val="both"/>
            </w:pPr>
            <w:r>
              <w:t>University of Oxford</w:t>
            </w:r>
          </w:p>
        </w:tc>
        <w:tc>
          <w:tcPr>
            <w:tcW w:w="1984" w:type="dxa"/>
          </w:tcPr>
          <w:p w:rsidR="00892E17" w:rsidRDefault="00892E17" w:rsidP="00FD788A">
            <w:pPr>
              <w:jc w:val="both"/>
            </w:pPr>
            <w:r>
              <w:t>Partner</w:t>
            </w:r>
          </w:p>
        </w:tc>
        <w:tc>
          <w:tcPr>
            <w:tcW w:w="4303" w:type="dxa"/>
          </w:tcPr>
          <w:p w:rsidR="00892E17" w:rsidRDefault="00892E17" w:rsidP="00FD788A">
            <w:pPr>
              <w:jc w:val="both"/>
            </w:pPr>
            <w:r>
              <w:t>Software</w:t>
            </w:r>
          </w:p>
        </w:tc>
      </w:tr>
      <w:tr w:rsidR="00892E17" w:rsidTr="00FD788A">
        <w:tc>
          <w:tcPr>
            <w:tcW w:w="2507" w:type="dxa"/>
          </w:tcPr>
          <w:p w:rsidR="00892E17" w:rsidRDefault="00892E17" w:rsidP="00FD788A">
            <w:pPr>
              <w:jc w:val="both"/>
            </w:pPr>
            <w:r>
              <w:t>Oxford City Council</w:t>
            </w:r>
          </w:p>
        </w:tc>
        <w:tc>
          <w:tcPr>
            <w:tcW w:w="1984" w:type="dxa"/>
          </w:tcPr>
          <w:p w:rsidR="00892E17" w:rsidRDefault="00892E17" w:rsidP="00FD788A">
            <w:pPr>
              <w:jc w:val="both"/>
            </w:pPr>
            <w:r>
              <w:t>Partner</w:t>
            </w:r>
          </w:p>
        </w:tc>
        <w:tc>
          <w:tcPr>
            <w:tcW w:w="4303" w:type="dxa"/>
          </w:tcPr>
          <w:p w:rsidR="00892E17" w:rsidRDefault="00892E17" w:rsidP="00FD788A">
            <w:pPr>
              <w:jc w:val="both"/>
            </w:pPr>
            <w:r>
              <w:t>Fleet &amp; Taxis</w:t>
            </w:r>
          </w:p>
        </w:tc>
      </w:tr>
      <w:tr w:rsidR="00892E17" w:rsidTr="00FD788A">
        <w:tc>
          <w:tcPr>
            <w:tcW w:w="2507" w:type="dxa"/>
          </w:tcPr>
          <w:p w:rsidR="00892E17" w:rsidRDefault="00892E17" w:rsidP="00FD788A">
            <w:pPr>
              <w:jc w:val="both"/>
            </w:pPr>
            <w:proofErr w:type="spellStart"/>
            <w:r>
              <w:t>Kensa</w:t>
            </w:r>
            <w:proofErr w:type="spellEnd"/>
            <w:r>
              <w:t xml:space="preserve"> Contracting Ltd</w:t>
            </w:r>
          </w:p>
        </w:tc>
        <w:tc>
          <w:tcPr>
            <w:tcW w:w="1984" w:type="dxa"/>
          </w:tcPr>
          <w:p w:rsidR="00892E17" w:rsidRDefault="00892E17" w:rsidP="00FD788A">
            <w:pPr>
              <w:jc w:val="both"/>
            </w:pPr>
            <w:r>
              <w:t>Partner</w:t>
            </w:r>
          </w:p>
        </w:tc>
        <w:tc>
          <w:tcPr>
            <w:tcW w:w="4303" w:type="dxa"/>
          </w:tcPr>
          <w:p w:rsidR="00892E17" w:rsidRDefault="00892E17" w:rsidP="00FD788A">
            <w:pPr>
              <w:jc w:val="both"/>
            </w:pPr>
            <w:r>
              <w:t>Heat Pumps</w:t>
            </w:r>
          </w:p>
        </w:tc>
      </w:tr>
      <w:tr w:rsidR="00892E17" w:rsidTr="00FD788A">
        <w:tc>
          <w:tcPr>
            <w:tcW w:w="2507" w:type="dxa"/>
          </w:tcPr>
          <w:p w:rsidR="00892E17" w:rsidRDefault="00892E17" w:rsidP="00FD788A">
            <w:pPr>
              <w:jc w:val="both"/>
            </w:pPr>
            <w:proofErr w:type="spellStart"/>
            <w:r>
              <w:t>RedT</w:t>
            </w:r>
            <w:proofErr w:type="spellEnd"/>
            <w:r>
              <w:t xml:space="preserve"> Energy (UK) Ltd</w:t>
            </w:r>
          </w:p>
        </w:tc>
        <w:tc>
          <w:tcPr>
            <w:tcW w:w="1984" w:type="dxa"/>
          </w:tcPr>
          <w:p w:rsidR="00892E17" w:rsidRDefault="00892E17" w:rsidP="00FD788A">
            <w:pPr>
              <w:jc w:val="both"/>
            </w:pPr>
            <w:r>
              <w:t>Partner</w:t>
            </w:r>
          </w:p>
        </w:tc>
        <w:tc>
          <w:tcPr>
            <w:tcW w:w="4303" w:type="dxa"/>
          </w:tcPr>
          <w:p w:rsidR="00892E17" w:rsidRDefault="00892E17" w:rsidP="00FD788A">
            <w:pPr>
              <w:jc w:val="both"/>
            </w:pPr>
            <w:r>
              <w:t>Pulse Battery</w:t>
            </w:r>
          </w:p>
        </w:tc>
      </w:tr>
    </w:tbl>
    <w:p w:rsidR="00F62F64" w:rsidRDefault="00F62F64" w:rsidP="00222A4B">
      <w:pPr>
        <w:contextualSpacing/>
        <w:jc w:val="both"/>
      </w:pPr>
    </w:p>
    <w:p w:rsidR="00C2487A" w:rsidRDefault="0080347B" w:rsidP="00FD788A">
      <w:pPr>
        <w:ind w:left="720"/>
        <w:jc w:val="both"/>
      </w:pPr>
      <w:r>
        <w:t xml:space="preserve">The overall collaboration for the project is a third-party led partnership, as a partner </w:t>
      </w:r>
      <w:r w:rsidR="00FC3CA7">
        <w:t xml:space="preserve">OCC </w:t>
      </w:r>
      <w:r>
        <w:t xml:space="preserve">will claim all payments directly from Innovate </w:t>
      </w:r>
      <w:proofErr w:type="gramStart"/>
      <w:r>
        <w:t>UK,</w:t>
      </w:r>
      <w:proofErr w:type="gramEnd"/>
      <w:r>
        <w:t xml:space="preserve"> it has no financial liability to other partners in the project.</w:t>
      </w:r>
    </w:p>
    <w:p w:rsidR="00FD788A" w:rsidRDefault="00FD788A" w:rsidP="00FD788A">
      <w:pPr>
        <w:ind w:left="720"/>
        <w:jc w:val="both"/>
      </w:pPr>
    </w:p>
    <w:p w:rsidR="0080347B" w:rsidRPr="000A2371" w:rsidRDefault="00097AAF" w:rsidP="00FF2D64">
      <w:pPr>
        <w:pStyle w:val="ListParagraph"/>
        <w:numPr>
          <w:ilvl w:val="0"/>
          <w:numId w:val="8"/>
        </w:numPr>
        <w:jc w:val="both"/>
      </w:pPr>
      <w:r>
        <w:t>As part of the permissions for</w:t>
      </w:r>
      <w:r w:rsidR="0080347B">
        <w:t xml:space="preserve"> the grant funding </w:t>
      </w:r>
      <w:r>
        <w:t xml:space="preserve">award. </w:t>
      </w:r>
      <w:r w:rsidR="0080347B">
        <w:t xml:space="preserve">Innovate </w:t>
      </w:r>
      <w:r>
        <w:t xml:space="preserve">UK </w:t>
      </w:r>
      <w:r w:rsidR="0080347B">
        <w:t xml:space="preserve">have </w:t>
      </w:r>
      <w:r>
        <w:t xml:space="preserve">stipulated the use of </w:t>
      </w:r>
      <w:r w:rsidR="0080347B">
        <w:t>Energy Systems Catapult</w:t>
      </w:r>
      <w:r>
        <w:t xml:space="preserve"> (ESC)</w:t>
      </w:r>
      <w:r w:rsidR="0080347B">
        <w:t xml:space="preserve"> to provide a Full S</w:t>
      </w:r>
      <w:r w:rsidR="0080347B" w:rsidRPr="0080347B">
        <w:t>ystem and Local Impact Assessment</w:t>
      </w:r>
      <w:r w:rsidR="0080347B">
        <w:t xml:space="preserve">. The value of this contract </w:t>
      </w:r>
      <w:r w:rsidR="0080347B" w:rsidRPr="0080347B">
        <w:t>is £</w:t>
      </w:r>
      <w:r w:rsidR="0080347B" w:rsidRPr="00222A4B">
        <w:rPr>
          <w:rFonts w:cs="Arial"/>
        </w:rPr>
        <w:t xml:space="preserve">159,852 and falls within the </w:t>
      </w:r>
      <w:r w:rsidR="00FC3CA7">
        <w:rPr>
          <w:rFonts w:cs="Arial"/>
        </w:rPr>
        <w:t xml:space="preserve">OCC </w:t>
      </w:r>
      <w:r w:rsidR="0080347B" w:rsidRPr="00222A4B">
        <w:rPr>
          <w:rFonts w:cs="Arial"/>
        </w:rPr>
        <w:t xml:space="preserve">grant funding remit. A procurement exemption </w:t>
      </w:r>
      <w:r w:rsidR="00F83BCF" w:rsidRPr="00222A4B">
        <w:rPr>
          <w:rFonts w:cs="Arial"/>
        </w:rPr>
        <w:t>from the Council</w:t>
      </w:r>
      <w:r w:rsidR="00110EF4">
        <w:rPr>
          <w:rFonts w:cs="Arial"/>
        </w:rPr>
        <w:t>’</w:t>
      </w:r>
      <w:r w:rsidR="00FC3CA7">
        <w:rPr>
          <w:rFonts w:cs="Arial"/>
        </w:rPr>
        <w:t>s p</w:t>
      </w:r>
      <w:r w:rsidR="00F83BCF" w:rsidRPr="00222A4B">
        <w:rPr>
          <w:rFonts w:cs="Arial"/>
        </w:rPr>
        <w:t>rocur</w:t>
      </w:r>
      <w:r w:rsidR="008E4242" w:rsidRPr="00222A4B">
        <w:rPr>
          <w:rFonts w:cs="Arial"/>
        </w:rPr>
        <w:t>e</w:t>
      </w:r>
      <w:r w:rsidR="00F83BCF" w:rsidRPr="00222A4B">
        <w:rPr>
          <w:rFonts w:cs="Arial"/>
        </w:rPr>
        <w:t xml:space="preserve">ment rules </w:t>
      </w:r>
      <w:r w:rsidR="0080347B" w:rsidRPr="00222A4B">
        <w:rPr>
          <w:rFonts w:cs="Arial"/>
        </w:rPr>
        <w:t xml:space="preserve">will be </w:t>
      </w:r>
      <w:r w:rsidR="00F83BCF" w:rsidRPr="00222A4B">
        <w:rPr>
          <w:rFonts w:cs="Arial"/>
        </w:rPr>
        <w:t>sought</w:t>
      </w:r>
      <w:r w:rsidR="00110EF4">
        <w:rPr>
          <w:rFonts w:cs="Arial"/>
        </w:rPr>
        <w:t xml:space="preserve"> </w:t>
      </w:r>
      <w:r w:rsidR="0080347B" w:rsidRPr="00222A4B">
        <w:rPr>
          <w:rFonts w:cs="Arial"/>
        </w:rPr>
        <w:t xml:space="preserve">to </w:t>
      </w:r>
      <w:r w:rsidRPr="00222A4B">
        <w:rPr>
          <w:rFonts w:cs="Arial"/>
        </w:rPr>
        <w:t xml:space="preserve">appoint ESC to </w:t>
      </w:r>
      <w:r w:rsidR="0080347B" w:rsidRPr="00222A4B">
        <w:rPr>
          <w:rFonts w:cs="Arial"/>
        </w:rPr>
        <w:t>this value</w:t>
      </w:r>
      <w:r w:rsidRPr="00222A4B">
        <w:rPr>
          <w:rFonts w:cs="Arial"/>
        </w:rPr>
        <w:t xml:space="preserve">. </w:t>
      </w:r>
    </w:p>
    <w:p w:rsidR="00F62F64" w:rsidRDefault="000A2371" w:rsidP="00FF2D64">
      <w:pPr>
        <w:pStyle w:val="ListParagraph"/>
        <w:numPr>
          <w:ilvl w:val="0"/>
          <w:numId w:val="8"/>
        </w:numPr>
        <w:jc w:val="both"/>
      </w:pPr>
      <w:r w:rsidRPr="00222A4B">
        <w:rPr>
          <w:rFonts w:cs="Arial"/>
        </w:rPr>
        <w:t xml:space="preserve">Governance for the project will be via Prince 2 Methodology. The </w:t>
      </w:r>
      <w:r w:rsidR="000D5463" w:rsidRPr="00222A4B">
        <w:rPr>
          <w:rFonts w:cs="Arial"/>
        </w:rPr>
        <w:t xml:space="preserve">ESO </w:t>
      </w:r>
      <w:r w:rsidRPr="00222A4B">
        <w:rPr>
          <w:rFonts w:cs="Arial"/>
        </w:rPr>
        <w:t xml:space="preserve">Partnership will be governed via a Project Management Board </w:t>
      </w:r>
      <w:r w:rsidR="000D5463" w:rsidRPr="00222A4B">
        <w:rPr>
          <w:rFonts w:cs="Arial"/>
        </w:rPr>
        <w:t>led by Pivot Power. There is also a</w:t>
      </w:r>
      <w:r w:rsidR="00110EF4">
        <w:rPr>
          <w:rFonts w:cs="Arial"/>
        </w:rPr>
        <w:t xml:space="preserve"> </w:t>
      </w:r>
      <w:r w:rsidRPr="00222A4B">
        <w:rPr>
          <w:rFonts w:cs="Arial"/>
        </w:rPr>
        <w:t xml:space="preserve">Project </w:t>
      </w:r>
      <w:r w:rsidR="000D5463" w:rsidRPr="00222A4B">
        <w:rPr>
          <w:rFonts w:cs="Arial"/>
        </w:rPr>
        <w:t>M</w:t>
      </w:r>
      <w:r w:rsidRPr="00222A4B">
        <w:rPr>
          <w:rFonts w:cs="Arial"/>
        </w:rPr>
        <w:t>anagement Group</w:t>
      </w:r>
      <w:r w:rsidR="000D5463" w:rsidRPr="00222A4B">
        <w:rPr>
          <w:rFonts w:cs="Arial"/>
        </w:rPr>
        <w:t xml:space="preserve"> for Operational Delivery.</w:t>
      </w:r>
      <w:r w:rsidRPr="00222A4B">
        <w:rPr>
          <w:rFonts w:cs="Arial"/>
        </w:rPr>
        <w:t xml:space="preserve"> </w:t>
      </w:r>
      <w:r w:rsidR="000D5463" w:rsidRPr="00222A4B">
        <w:rPr>
          <w:rFonts w:cs="Arial"/>
        </w:rPr>
        <w:t>Each partner (including</w:t>
      </w:r>
      <w:r w:rsidR="00FC3CA7">
        <w:rPr>
          <w:rFonts w:cs="Arial"/>
        </w:rPr>
        <w:t xml:space="preserve"> </w:t>
      </w:r>
      <w:proofErr w:type="gramStart"/>
      <w:r w:rsidR="00FC3CA7">
        <w:rPr>
          <w:rFonts w:cs="Arial"/>
        </w:rPr>
        <w:t xml:space="preserve">OCC </w:t>
      </w:r>
      <w:r w:rsidR="000D5463" w:rsidRPr="00222A4B">
        <w:rPr>
          <w:rFonts w:cs="Arial"/>
        </w:rPr>
        <w:t>)</w:t>
      </w:r>
      <w:proofErr w:type="gramEnd"/>
      <w:r w:rsidR="000D5463" w:rsidRPr="00222A4B">
        <w:rPr>
          <w:rFonts w:cs="Arial"/>
        </w:rPr>
        <w:t xml:space="preserve"> will have one representative for Board and Group. </w:t>
      </w:r>
    </w:p>
    <w:p w:rsidR="0040736F" w:rsidRPr="001356F1" w:rsidRDefault="00DA614B" w:rsidP="00222A4B">
      <w:pPr>
        <w:pStyle w:val="Heading1"/>
        <w:ind w:left="360"/>
      </w:pPr>
      <w:r w:rsidRPr="001356F1">
        <w:t>Legal issues</w:t>
      </w:r>
    </w:p>
    <w:p w:rsidR="00097AAF" w:rsidRDefault="00097AAF" w:rsidP="00FF2D64">
      <w:pPr>
        <w:pStyle w:val="ListParagraph"/>
        <w:numPr>
          <w:ilvl w:val="0"/>
          <w:numId w:val="8"/>
        </w:numPr>
        <w:jc w:val="both"/>
      </w:pPr>
      <w:r>
        <w:t xml:space="preserve">Partners within the </w:t>
      </w:r>
      <w:r w:rsidR="00A803E8">
        <w:t xml:space="preserve">ESO </w:t>
      </w:r>
      <w:r>
        <w:t>organisation must sign up to a</w:t>
      </w:r>
      <w:r w:rsidR="0058195D">
        <w:t xml:space="preserve"> standard </w:t>
      </w:r>
      <w:r>
        <w:t xml:space="preserve">Collaboration Agreement to receive funding.  </w:t>
      </w:r>
    </w:p>
    <w:p w:rsidR="00E87F7A" w:rsidRPr="00F62F64" w:rsidRDefault="00F62F64" w:rsidP="00FF2D64">
      <w:pPr>
        <w:pStyle w:val="ListParagraph"/>
        <w:numPr>
          <w:ilvl w:val="0"/>
          <w:numId w:val="8"/>
        </w:numPr>
        <w:jc w:val="both"/>
      </w:pPr>
      <w:r>
        <w:t xml:space="preserve">Contract documentation </w:t>
      </w:r>
      <w:r w:rsidR="00097AAF" w:rsidRPr="00F62F64">
        <w:t xml:space="preserve">will </w:t>
      </w:r>
      <w:r>
        <w:t>need to</w:t>
      </w:r>
      <w:r w:rsidRPr="00F62F64">
        <w:t xml:space="preserve"> ensure </w:t>
      </w:r>
      <w:r w:rsidR="00DA1DFF" w:rsidRPr="00222A4B">
        <w:rPr>
          <w:rFonts w:cs="Arial"/>
          <w:iCs/>
        </w:rPr>
        <w:t>that</w:t>
      </w:r>
      <w:r w:rsidRPr="00222A4B">
        <w:rPr>
          <w:rFonts w:cs="Arial"/>
          <w:iCs/>
        </w:rPr>
        <w:t xml:space="preserve"> any works that </w:t>
      </w:r>
      <w:r w:rsidR="00DA1DFF" w:rsidRPr="00222A4B">
        <w:rPr>
          <w:rFonts w:cs="Arial"/>
          <w:iCs/>
        </w:rPr>
        <w:t xml:space="preserve">partners carry out on </w:t>
      </w:r>
      <w:r w:rsidR="00FC3CA7">
        <w:rPr>
          <w:rFonts w:cs="Arial"/>
          <w:iCs/>
        </w:rPr>
        <w:t xml:space="preserve">OCC </w:t>
      </w:r>
      <w:bookmarkStart w:id="0" w:name="_GoBack"/>
      <w:bookmarkEnd w:id="0"/>
      <w:r w:rsidRPr="00222A4B">
        <w:rPr>
          <w:rFonts w:cs="Arial"/>
          <w:iCs/>
        </w:rPr>
        <w:t>land (</w:t>
      </w:r>
      <w:proofErr w:type="spellStart"/>
      <w:r w:rsidRPr="00222A4B">
        <w:rPr>
          <w:rFonts w:cs="Arial"/>
          <w:iCs/>
        </w:rPr>
        <w:t>i.e</w:t>
      </w:r>
      <w:proofErr w:type="spellEnd"/>
      <w:r w:rsidRPr="00222A4B">
        <w:rPr>
          <w:rFonts w:cs="Arial"/>
          <w:iCs/>
        </w:rPr>
        <w:t xml:space="preserve"> installing cabling </w:t>
      </w:r>
      <w:proofErr w:type="spellStart"/>
      <w:r w:rsidRPr="00222A4B">
        <w:rPr>
          <w:rFonts w:cs="Arial"/>
          <w:iCs/>
        </w:rPr>
        <w:t>etc</w:t>
      </w:r>
      <w:proofErr w:type="spellEnd"/>
      <w:r w:rsidRPr="00222A4B">
        <w:rPr>
          <w:rFonts w:cs="Arial"/>
          <w:iCs/>
        </w:rPr>
        <w:t xml:space="preserve">), </w:t>
      </w:r>
      <w:r w:rsidR="00DA1DFF" w:rsidRPr="00222A4B">
        <w:rPr>
          <w:rFonts w:cs="Arial"/>
          <w:iCs/>
        </w:rPr>
        <w:t xml:space="preserve">provide </w:t>
      </w:r>
      <w:r w:rsidRPr="00222A4B">
        <w:rPr>
          <w:rFonts w:cs="Arial"/>
          <w:iCs/>
        </w:rPr>
        <w:t>assurances to cover certification and proof that any infrastructure inst</w:t>
      </w:r>
      <w:r w:rsidR="00DA1DFF" w:rsidRPr="00222A4B">
        <w:rPr>
          <w:rFonts w:cs="Arial"/>
          <w:iCs/>
        </w:rPr>
        <w:t>alled is safe and fully compliant</w:t>
      </w:r>
      <w:r w:rsidRPr="00222A4B">
        <w:rPr>
          <w:rFonts w:cs="Arial"/>
          <w:iCs/>
        </w:rPr>
        <w:t xml:space="preserve"> with legislation.</w:t>
      </w:r>
    </w:p>
    <w:p w:rsidR="00F62F64" w:rsidRPr="00222A4B" w:rsidRDefault="00A803E8" w:rsidP="00FF2D64">
      <w:pPr>
        <w:pStyle w:val="ListParagraph"/>
        <w:numPr>
          <w:ilvl w:val="0"/>
          <w:numId w:val="8"/>
        </w:numPr>
        <w:spacing w:after="0"/>
        <w:jc w:val="both"/>
        <w:rPr>
          <w:rFonts w:cs="Arial"/>
          <w:color w:val="auto"/>
        </w:rPr>
      </w:pPr>
      <w:r w:rsidRPr="00222A4B">
        <w:rPr>
          <w:rFonts w:cs="Arial"/>
          <w:color w:val="auto"/>
        </w:rPr>
        <w:t xml:space="preserve">Consideration of the </w:t>
      </w:r>
      <w:r w:rsidR="00110EF4">
        <w:rPr>
          <w:rFonts w:cs="Arial"/>
          <w:color w:val="auto"/>
        </w:rPr>
        <w:t>State A</w:t>
      </w:r>
      <w:r w:rsidR="00F62F64" w:rsidRPr="00222A4B">
        <w:rPr>
          <w:rFonts w:cs="Arial"/>
          <w:color w:val="auto"/>
        </w:rPr>
        <w:t xml:space="preserve">id </w:t>
      </w:r>
      <w:r w:rsidRPr="00222A4B">
        <w:rPr>
          <w:rFonts w:cs="Arial"/>
          <w:color w:val="auto"/>
        </w:rPr>
        <w:t>posi</w:t>
      </w:r>
      <w:r w:rsidR="004A05EF" w:rsidRPr="00222A4B">
        <w:rPr>
          <w:rFonts w:cs="Arial"/>
          <w:color w:val="auto"/>
        </w:rPr>
        <w:t xml:space="preserve">tion will be required, and the project will need to be structured in a way </w:t>
      </w:r>
      <w:r w:rsidR="00556008" w:rsidRPr="00222A4B">
        <w:rPr>
          <w:rFonts w:cs="Arial"/>
          <w:color w:val="auto"/>
        </w:rPr>
        <w:t xml:space="preserve">that ensures </w:t>
      </w:r>
      <w:r w:rsidR="004A05EF" w:rsidRPr="00222A4B">
        <w:rPr>
          <w:rFonts w:cs="Arial"/>
          <w:color w:val="auto"/>
        </w:rPr>
        <w:t xml:space="preserve">that the grant funding will not constitute unlawful State Aid. It is likely that the funding will fall within </w:t>
      </w:r>
      <w:r w:rsidR="00DA1DFF" w:rsidRPr="00222A4B">
        <w:rPr>
          <w:rFonts w:cs="Arial"/>
          <w:color w:val="auto"/>
        </w:rPr>
        <w:t>a</w:t>
      </w:r>
      <w:r w:rsidR="00556008" w:rsidRPr="00222A4B">
        <w:rPr>
          <w:rFonts w:cs="Arial"/>
          <w:color w:val="auto"/>
        </w:rPr>
        <w:t>n operative</w:t>
      </w:r>
      <w:r w:rsidR="00DA1DFF" w:rsidRPr="00222A4B">
        <w:rPr>
          <w:rFonts w:cs="Arial"/>
          <w:color w:val="auto"/>
        </w:rPr>
        <w:t xml:space="preserve"> General Block Exemption Regulation (GBER)</w:t>
      </w:r>
      <w:r w:rsidR="004A05EF" w:rsidRPr="00222A4B">
        <w:rPr>
          <w:rFonts w:cs="Arial"/>
          <w:color w:val="auto"/>
        </w:rPr>
        <w:t xml:space="preserve">, but </w:t>
      </w:r>
      <w:r w:rsidR="00556008" w:rsidRPr="00222A4B">
        <w:rPr>
          <w:rFonts w:cs="Arial"/>
          <w:color w:val="auto"/>
        </w:rPr>
        <w:t>further consideration will be given to this point.</w:t>
      </w:r>
      <w:r w:rsidR="00DA1DFF" w:rsidRPr="00222A4B">
        <w:rPr>
          <w:rFonts w:cs="Arial"/>
          <w:color w:val="auto"/>
        </w:rPr>
        <w:t xml:space="preserve"> </w:t>
      </w:r>
    </w:p>
    <w:p w:rsidR="002329CF" w:rsidRPr="001356F1" w:rsidRDefault="002329CF" w:rsidP="00222A4B">
      <w:pPr>
        <w:pStyle w:val="Heading1"/>
        <w:ind w:left="360"/>
      </w:pPr>
      <w:r w:rsidRPr="001356F1">
        <w:t>Level of risk</w:t>
      </w:r>
    </w:p>
    <w:p w:rsidR="001406B6" w:rsidRPr="001356F1" w:rsidRDefault="0064007D" w:rsidP="00FF2D64">
      <w:pPr>
        <w:pStyle w:val="ListParagraph"/>
        <w:numPr>
          <w:ilvl w:val="0"/>
          <w:numId w:val="8"/>
        </w:numPr>
      </w:pPr>
      <w:r>
        <w:t>See Risk Register (Appendix 1)</w:t>
      </w:r>
    </w:p>
    <w:p w:rsidR="002329CF" w:rsidRPr="001356F1" w:rsidRDefault="002329CF" w:rsidP="00222A4B">
      <w:pPr>
        <w:pStyle w:val="Heading1"/>
        <w:ind w:left="360"/>
      </w:pPr>
      <w:r w:rsidRPr="001356F1">
        <w:t xml:space="preserve">Equalities impact </w:t>
      </w:r>
    </w:p>
    <w:p w:rsidR="00F62D73" w:rsidRDefault="00F62D73" w:rsidP="00FF2D64">
      <w:pPr>
        <w:pStyle w:val="ListParagraph"/>
        <w:numPr>
          <w:ilvl w:val="0"/>
          <w:numId w:val="8"/>
        </w:numPr>
        <w:rPr>
          <w:rFonts w:cs="Arial"/>
        </w:rPr>
      </w:pPr>
      <w:r w:rsidRPr="00222A4B">
        <w:rPr>
          <w:rFonts w:cs="Arial"/>
        </w:rPr>
        <w:t xml:space="preserve">The scheme supports ultra-low emissions vehicle uptake by Hackney carriages operating in Oxford. The Council’s current Hackney Carriage requirements have ensured that all such vehicles in operation are wheelchair accessible.  </w:t>
      </w:r>
    </w:p>
    <w:p w:rsidR="00125169" w:rsidRDefault="00125169" w:rsidP="00125169">
      <w:pPr>
        <w:pStyle w:val="ListParagraph"/>
        <w:numPr>
          <w:ilvl w:val="0"/>
          <w:numId w:val="0"/>
        </w:numPr>
        <w:ind w:left="720"/>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222A4B" w:rsidRDefault="00E87F7A" w:rsidP="00222A4B">
            <w:pPr>
              <w:ind w:left="360"/>
              <w:rPr>
                <w:b/>
              </w:rPr>
            </w:pPr>
            <w:r w:rsidRPr="00222A4B">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62D73" w:rsidP="00222A4B">
            <w:pPr>
              <w:ind w:left="360"/>
            </w:pPr>
            <w:r>
              <w:t>Tina Mould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222A4B">
            <w:pPr>
              <w:ind w:left="360"/>
            </w:pPr>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62D73" w:rsidP="00222A4B">
            <w:pPr>
              <w:ind w:left="360"/>
            </w:pPr>
            <w:r>
              <w:t>Capital Programme Project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222A4B">
            <w:pPr>
              <w:ind w:left="360"/>
            </w:pPr>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34F86" w:rsidP="00222A4B">
            <w:pPr>
              <w:ind w:left="360"/>
            </w:pPr>
            <w:r>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222A4B">
            <w:pPr>
              <w:ind w:left="360"/>
            </w:pPr>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34F86" w:rsidP="00222A4B">
            <w:pPr>
              <w:ind w:left="360"/>
            </w:pPr>
            <w:r>
              <w:t>01865 252082</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222A4B">
            <w:pPr>
              <w:ind w:left="360"/>
            </w:pPr>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222A4B" w:rsidRDefault="00434F86" w:rsidP="00222A4B">
            <w:pPr>
              <w:ind w:left="360"/>
              <w:rPr>
                <w:rStyle w:val="Hyperlink"/>
                <w:color w:val="000000"/>
              </w:rPr>
            </w:pPr>
            <w:r w:rsidRPr="00222A4B">
              <w:rPr>
                <w:rStyle w:val="Hyperlink"/>
                <w:color w:val="000000"/>
              </w:rPr>
              <w:t>kmould@oxford.gov.uk</w:t>
            </w:r>
          </w:p>
        </w:tc>
      </w:tr>
    </w:tbl>
    <w:p w:rsidR="00433B96" w:rsidRDefault="00433B96" w:rsidP="00222A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DF093E" w:rsidRPr="001356F1" w:rsidTr="00FD788A">
        <w:trPr>
          <w:trHeight w:val="96"/>
        </w:trPr>
        <w:tc>
          <w:tcPr>
            <w:tcW w:w="9176"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F2D64">
            <w:pPr>
              <w:ind w:left="1080"/>
            </w:pPr>
            <w:r w:rsidRPr="001356F1">
              <w:rPr>
                <w:rStyle w:val="Firstpagetablebold"/>
              </w:rPr>
              <w:t xml:space="preserve">Background Papers: </w:t>
            </w:r>
            <w:r w:rsidRPr="00FF2D64">
              <w:rPr>
                <w:rStyle w:val="Firstpagetablebold"/>
                <w:b w:val="0"/>
              </w:rPr>
              <w:t>None</w:t>
            </w:r>
          </w:p>
        </w:tc>
      </w:tr>
    </w:tbl>
    <w:p w:rsidR="00CE4C87" w:rsidRDefault="00CE4C87" w:rsidP="00222A4B"/>
    <w:sectPr w:rsidR="00CE4C87" w:rsidSect="00BC200B">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CF" w:rsidRDefault="006A07CF" w:rsidP="004A6D2F">
      <w:r>
        <w:separator/>
      </w:r>
    </w:p>
  </w:endnote>
  <w:endnote w:type="continuationSeparator" w:id="0">
    <w:p w:rsidR="006A07CF" w:rsidRDefault="006A07C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64" w:rsidRDefault="00FF2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CF" w:rsidRDefault="006A07CF" w:rsidP="004A6D2F">
      <w:r>
        <w:separator/>
      </w:r>
    </w:p>
  </w:footnote>
  <w:footnote w:type="continuationSeparator" w:id="0">
    <w:p w:rsidR="006A07CF" w:rsidRDefault="006A07C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64" w:rsidRDefault="00FF2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64" w:rsidRDefault="00FF2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36CCA" w:rsidP="00D5547E">
    <w:pPr>
      <w:pStyle w:val="Header"/>
      <w:jc w:val="right"/>
    </w:pPr>
    <w:r>
      <w:rPr>
        <w:noProof/>
      </w:rPr>
      <w:drawing>
        <wp:inline distT="0" distB="0" distL="0" distR="0" wp14:anchorId="03DFA200" wp14:editId="35569D83">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345"/>
    <w:multiLevelType w:val="hybridMultilevel"/>
    <w:tmpl w:val="E1B46326"/>
    <w:lvl w:ilvl="0" w:tplc="0809000F">
      <w:start w:val="1"/>
      <w:numFmt w:val="decimal"/>
      <w:lvlText w:val="%1."/>
      <w:lvlJc w:val="left"/>
      <w:pPr>
        <w:ind w:left="720" w:hanging="360"/>
      </w:pPr>
    </w:lvl>
    <w:lvl w:ilvl="1" w:tplc="08090013">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37F1004"/>
    <w:multiLevelType w:val="hybridMultilevel"/>
    <w:tmpl w:val="4E022B34"/>
    <w:styleLink w:val="ImportedStyle1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0A65F2"/>
    <w:multiLevelType w:val="hybridMultilevel"/>
    <w:tmpl w:val="438A9444"/>
    <w:lvl w:ilvl="0" w:tplc="0809000F">
      <w:start w:val="1"/>
      <w:numFmt w:val="decimal"/>
      <w:lvlText w:val="%1."/>
      <w:lvlJc w:val="left"/>
      <w:pPr>
        <w:ind w:left="720" w:hanging="360"/>
      </w:pPr>
    </w:lvl>
    <w:lvl w:ilvl="1" w:tplc="63E84880">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976055"/>
    <w:multiLevelType w:val="hybridMultilevel"/>
    <w:tmpl w:val="CF0A331A"/>
    <w:styleLink w:val="ImportedStyle1"/>
    <w:lvl w:ilvl="0" w:tplc="B6CA18A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D3E0EE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168C4D8">
      <w:start w:val="1"/>
      <w:numFmt w:val="lowerRoman"/>
      <w:lvlText w:val="%3."/>
      <w:lvlJc w:val="left"/>
      <w:pPr>
        <w:ind w:left="216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61CC0A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F222FC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CF0023A">
      <w:start w:val="1"/>
      <w:numFmt w:val="lowerRoman"/>
      <w:lvlText w:val="%6."/>
      <w:lvlJc w:val="left"/>
      <w:pPr>
        <w:ind w:left="432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256074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0E7CC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27233A2">
      <w:start w:val="1"/>
      <w:numFmt w:val="lowerRoman"/>
      <w:lvlText w:val="%9."/>
      <w:lvlJc w:val="left"/>
      <w:pPr>
        <w:ind w:left="648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62B03313"/>
    <w:multiLevelType w:val="hybridMultilevel"/>
    <w:tmpl w:val="3BCEB7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E67CE66C"/>
    <w:numStyleLink w:val="StyleNumberedLeft0cmHanging075cm"/>
  </w:abstractNum>
  <w:num w:numId="1">
    <w:abstractNumId w:val="4"/>
  </w:num>
  <w:num w:numId="2">
    <w:abstractNumId w:val="1"/>
  </w:num>
  <w:num w:numId="3">
    <w:abstractNumId w:val="9"/>
    <w:lvlOverride w:ilvl="0">
      <w:lvl w:ilvl="0">
        <w:start w:val="1"/>
        <w:numFmt w:val="decimal"/>
        <w:pStyle w:val="ListParagraph"/>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2"/>
  </w:num>
  <w:num w:numId="6">
    <w:abstractNumId w:val="8"/>
  </w:num>
  <w:num w:numId="7">
    <w:abstractNumId w:val="6"/>
  </w:num>
  <w:num w:numId="8">
    <w:abstractNumId w:val="5"/>
  </w:num>
  <w:num w:numId="9">
    <w:abstractNumId w:val="0"/>
  </w:num>
  <w:num w:numId="10">
    <w:abstractNumId w:val="9"/>
    <w:lvlOverride w:ilvl="0">
      <w:lvl w:ilvl="0">
        <w:start w:val="1"/>
        <w:numFmt w:val="decimal"/>
        <w:pStyle w:val="ListParagraph"/>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74"/>
    <w:rsid w:val="000117D4"/>
    <w:rsid w:val="000314D7"/>
    <w:rsid w:val="00045F8B"/>
    <w:rsid w:val="00046D2B"/>
    <w:rsid w:val="00050BEC"/>
    <w:rsid w:val="00056263"/>
    <w:rsid w:val="00064D8A"/>
    <w:rsid w:val="00064F82"/>
    <w:rsid w:val="00066510"/>
    <w:rsid w:val="00075BA9"/>
    <w:rsid w:val="00077523"/>
    <w:rsid w:val="00097AAF"/>
    <w:rsid w:val="000A2371"/>
    <w:rsid w:val="000C089F"/>
    <w:rsid w:val="000C3928"/>
    <w:rsid w:val="000C5E8E"/>
    <w:rsid w:val="000D5463"/>
    <w:rsid w:val="000F40DE"/>
    <w:rsid w:val="000F4751"/>
    <w:rsid w:val="0010524C"/>
    <w:rsid w:val="00110EF4"/>
    <w:rsid w:val="00111FB1"/>
    <w:rsid w:val="00113418"/>
    <w:rsid w:val="00121FFF"/>
    <w:rsid w:val="00125169"/>
    <w:rsid w:val="001356F1"/>
    <w:rsid w:val="00136994"/>
    <w:rsid w:val="001406B6"/>
    <w:rsid w:val="0014128E"/>
    <w:rsid w:val="0015164D"/>
    <w:rsid w:val="00151888"/>
    <w:rsid w:val="00163B1B"/>
    <w:rsid w:val="00170A2D"/>
    <w:rsid w:val="001808BC"/>
    <w:rsid w:val="00182B81"/>
    <w:rsid w:val="0018619D"/>
    <w:rsid w:val="0019603D"/>
    <w:rsid w:val="001A011E"/>
    <w:rsid w:val="001A066A"/>
    <w:rsid w:val="001A13E6"/>
    <w:rsid w:val="001A5731"/>
    <w:rsid w:val="001B42C3"/>
    <w:rsid w:val="001C5D5E"/>
    <w:rsid w:val="001D678D"/>
    <w:rsid w:val="001E03F8"/>
    <w:rsid w:val="001E1678"/>
    <w:rsid w:val="001E3376"/>
    <w:rsid w:val="001E647E"/>
    <w:rsid w:val="00201B3B"/>
    <w:rsid w:val="002069B3"/>
    <w:rsid w:val="00221901"/>
    <w:rsid w:val="00222A4B"/>
    <w:rsid w:val="002329CF"/>
    <w:rsid w:val="00232F5B"/>
    <w:rsid w:val="00247C29"/>
    <w:rsid w:val="00260467"/>
    <w:rsid w:val="00263EA3"/>
    <w:rsid w:val="00275440"/>
    <w:rsid w:val="00284F85"/>
    <w:rsid w:val="00290915"/>
    <w:rsid w:val="002A22E2"/>
    <w:rsid w:val="002C64F7"/>
    <w:rsid w:val="002F4082"/>
    <w:rsid w:val="002F41F2"/>
    <w:rsid w:val="00300B65"/>
    <w:rsid w:val="00301BF3"/>
    <w:rsid w:val="0030208D"/>
    <w:rsid w:val="00323418"/>
    <w:rsid w:val="003357BF"/>
    <w:rsid w:val="00351605"/>
    <w:rsid w:val="00364FAD"/>
    <w:rsid w:val="0036738F"/>
    <w:rsid w:val="0036759C"/>
    <w:rsid w:val="00367AE5"/>
    <w:rsid w:val="00367D71"/>
    <w:rsid w:val="00375E67"/>
    <w:rsid w:val="0038150A"/>
    <w:rsid w:val="003B6E75"/>
    <w:rsid w:val="003B7DA1"/>
    <w:rsid w:val="003D0379"/>
    <w:rsid w:val="003D2574"/>
    <w:rsid w:val="003D4C59"/>
    <w:rsid w:val="003F4267"/>
    <w:rsid w:val="00404032"/>
    <w:rsid w:val="0040736F"/>
    <w:rsid w:val="00412C1F"/>
    <w:rsid w:val="00421CB2"/>
    <w:rsid w:val="004268B9"/>
    <w:rsid w:val="00433B96"/>
    <w:rsid w:val="00434F86"/>
    <w:rsid w:val="004440F1"/>
    <w:rsid w:val="004456DD"/>
    <w:rsid w:val="00446CDF"/>
    <w:rsid w:val="004521B7"/>
    <w:rsid w:val="00462AB5"/>
    <w:rsid w:val="00465EAF"/>
    <w:rsid w:val="004738C5"/>
    <w:rsid w:val="00491046"/>
    <w:rsid w:val="00493830"/>
    <w:rsid w:val="004A05EF"/>
    <w:rsid w:val="004A2AC7"/>
    <w:rsid w:val="004A6D2F"/>
    <w:rsid w:val="004B42EA"/>
    <w:rsid w:val="004C2887"/>
    <w:rsid w:val="004D2626"/>
    <w:rsid w:val="004D6E26"/>
    <w:rsid w:val="004D77D3"/>
    <w:rsid w:val="004E2959"/>
    <w:rsid w:val="004F20EF"/>
    <w:rsid w:val="0050321C"/>
    <w:rsid w:val="005142B1"/>
    <w:rsid w:val="0054712D"/>
    <w:rsid w:val="00547EF6"/>
    <w:rsid w:val="00556008"/>
    <w:rsid w:val="005570B5"/>
    <w:rsid w:val="0056729F"/>
    <w:rsid w:val="00567E18"/>
    <w:rsid w:val="00575F5F"/>
    <w:rsid w:val="00581805"/>
    <w:rsid w:val="00581946"/>
    <w:rsid w:val="0058195D"/>
    <w:rsid w:val="00583F6D"/>
    <w:rsid w:val="00585F76"/>
    <w:rsid w:val="005A34E4"/>
    <w:rsid w:val="005B17F2"/>
    <w:rsid w:val="005B35BA"/>
    <w:rsid w:val="005B7FB0"/>
    <w:rsid w:val="005C35A5"/>
    <w:rsid w:val="005C577C"/>
    <w:rsid w:val="005D0621"/>
    <w:rsid w:val="005D0A74"/>
    <w:rsid w:val="005D1E27"/>
    <w:rsid w:val="005D2A3E"/>
    <w:rsid w:val="005E022E"/>
    <w:rsid w:val="005E5215"/>
    <w:rsid w:val="005E6D86"/>
    <w:rsid w:val="005F7F7E"/>
    <w:rsid w:val="00614693"/>
    <w:rsid w:val="00623C2F"/>
    <w:rsid w:val="00633578"/>
    <w:rsid w:val="00637068"/>
    <w:rsid w:val="0064007D"/>
    <w:rsid w:val="00650811"/>
    <w:rsid w:val="00661D3E"/>
    <w:rsid w:val="00667602"/>
    <w:rsid w:val="00692627"/>
    <w:rsid w:val="006969E7"/>
    <w:rsid w:val="006A07CF"/>
    <w:rsid w:val="006A3643"/>
    <w:rsid w:val="006C2A29"/>
    <w:rsid w:val="006C64CF"/>
    <w:rsid w:val="006D17B1"/>
    <w:rsid w:val="006D4752"/>
    <w:rsid w:val="006D708A"/>
    <w:rsid w:val="006E14C1"/>
    <w:rsid w:val="006F0292"/>
    <w:rsid w:val="006F27FA"/>
    <w:rsid w:val="006F416B"/>
    <w:rsid w:val="006F519B"/>
    <w:rsid w:val="006F5CE3"/>
    <w:rsid w:val="00702DDF"/>
    <w:rsid w:val="00713675"/>
    <w:rsid w:val="00715823"/>
    <w:rsid w:val="00736694"/>
    <w:rsid w:val="00737B93"/>
    <w:rsid w:val="00745BF0"/>
    <w:rsid w:val="00760162"/>
    <w:rsid w:val="007615FE"/>
    <w:rsid w:val="0076655C"/>
    <w:rsid w:val="007742DC"/>
    <w:rsid w:val="00791437"/>
    <w:rsid w:val="007B0C2C"/>
    <w:rsid w:val="007B278E"/>
    <w:rsid w:val="007B37C5"/>
    <w:rsid w:val="007C5C23"/>
    <w:rsid w:val="007E2A26"/>
    <w:rsid w:val="007F2348"/>
    <w:rsid w:val="0080347B"/>
    <w:rsid w:val="00803F07"/>
    <w:rsid w:val="0080749A"/>
    <w:rsid w:val="00811569"/>
    <w:rsid w:val="00821FB8"/>
    <w:rsid w:val="00822ACD"/>
    <w:rsid w:val="0082371D"/>
    <w:rsid w:val="00855C66"/>
    <w:rsid w:val="00871EE4"/>
    <w:rsid w:val="00883768"/>
    <w:rsid w:val="00892E17"/>
    <w:rsid w:val="008B293F"/>
    <w:rsid w:val="008B7371"/>
    <w:rsid w:val="008D3DDB"/>
    <w:rsid w:val="008E4242"/>
    <w:rsid w:val="008E5251"/>
    <w:rsid w:val="008F573F"/>
    <w:rsid w:val="009034EC"/>
    <w:rsid w:val="0091606B"/>
    <w:rsid w:val="0093067A"/>
    <w:rsid w:val="00933974"/>
    <w:rsid w:val="00941C60"/>
    <w:rsid w:val="00957EE8"/>
    <w:rsid w:val="00966D42"/>
    <w:rsid w:val="00971689"/>
    <w:rsid w:val="009723B0"/>
    <w:rsid w:val="00973E90"/>
    <w:rsid w:val="00975B07"/>
    <w:rsid w:val="00980B4A"/>
    <w:rsid w:val="009B7A58"/>
    <w:rsid w:val="009C2BEA"/>
    <w:rsid w:val="009E3D0A"/>
    <w:rsid w:val="009E51FC"/>
    <w:rsid w:val="009F1D28"/>
    <w:rsid w:val="009F7618"/>
    <w:rsid w:val="00A04D23"/>
    <w:rsid w:val="00A06766"/>
    <w:rsid w:val="00A13765"/>
    <w:rsid w:val="00A17E3A"/>
    <w:rsid w:val="00A21B12"/>
    <w:rsid w:val="00A23F80"/>
    <w:rsid w:val="00A31B44"/>
    <w:rsid w:val="00A46E98"/>
    <w:rsid w:val="00A6352B"/>
    <w:rsid w:val="00A701B5"/>
    <w:rsid w:val="00A714BB"/>
    <w:rsid w:val="00A7777C"/>
    <w:rsid w:val="00A77E2D"/>
    <w:rsid w:val="00A803E8"/>
    <w:rsid w:val="00A92D8F"/>
    <w:rsid w:val="00AB2988"/>
    <w:rsid w:val="00AB7999"/>
    <w:rsid w:val="00AD3292"/>
    <w:rsid w:val="00AE66E3"/>
    <w:rsid w:val="00AE7AF0"/>
    <w:rsid w:val="00AF6685"/>
    <w:rsid w:val="00B07A95"/>
    <w:rsid w:val="00B36CCA"/>
    <w:rsid w:val="00B500CA"/>
    <w:rsid w:val="00B86314"/>
    <w:rsid w:val="00BA1C2E"/>
    <w:rsid w:val="00BC200B"/>
    <w:rsid w:val="00BC4756"/>
    <w:rsid w:val="00BC69A4"/>
    <w:rsid w:val="00BD1FE8"/>
    <w:rsid w:val="00BD6D4B"/>
    <w:rsid w:val="00BE0680"/>
    <w:rsid w:val="00BE305F"/>
    <w:rsid w:val="00BE7BA3"/>
    <w:rsid w:val="00BF5682"/>
    <w:rsid w:val="00BF7B09"/>
    <w:rsid w:val="00C12E1E"/>
    <w:rsid w:val="00C20A95"/>
    <w:rsid w:val="00C21AD5"/>
    <w:rsid w:val="00C2487A"/>
    <w:rsid w:val="00C2692F"/>
    <w:rsid w:val="00C3207C"/>
    <w:rsid w:val="00C400E1"/>
    <w:rsid w:val="00C41187"/>
    <w:rsid w:val="00C63C31"/>
    <w:rsid w:val="00C757A0"/>
    <w:rsid w:val="00C760DE"/>
    <w:rsid w:val="00C82630"/>
    <w:rsid w:val="00C85B4E"/>
    <w:rsid w:val="00C907F7"/>
    <w:rsid w:val="00CA1CD3"/>
    <w:rsid w:val="00CA2103"/>
    <w:rsid w:val="00CA2A16"/>
    <w:rsid w:val="00CB6B99"/>
    <w:rsid w:val="00CC292A"/>
    <w:rsid w:val="00CC6A35"/>
    <w:rsid w:val="00CD23E1"/>
    <w:rsid w:val="00CE4C87"/>
    <w:rsid w:val="00CE544A"/>
    <w:rsid w:val="00CE7ED9"/>
    <w:rsid w:val="00D11E1C"/>
    <w:rsid w:val="00D160B0"/>
    <w:rsid w:val="00D17F94"/>
    <w:rsid w:val="00D223FC"/>
    <w:rsid w:val="00D26D1E"/>
    <w:rsid w:val="00D34EBA"/>
    <w:rsid w:val="00D474CF"/>
    <w:rsid w:val="00D5547E"/>
    <w:rsid w:val="00D639C1"/>
    <w:rsid w:val="00D85BBE"/>
    <w:rsid w:val="00D869A1"/>
    <w:rsid w:val="00DA1DFF"/>
    <w:rsid w:val="00DA413F"/>
    <w:rsid w:val="00DA4584"/>
    <w:rsid w:val="00DA614B"/>
    <w:rsid w:val="00DC3060"/>
    <w:rsid w:val="00DE0FB2"/>
    <w:rsid w:val="00DE711F"/>
    <w:rsid w:val="00DF093E"/>
    <w:rsid w:val="00E01F42"/>
    <w:rsid w:val="00E206D6"/>
    <w:rsid w:val="00E3366E"/>
    <w:rsid w:val="00E427B0"/>
    <w:rsid w:val="00E515F8"/>
    <w:rsid w:val="00E52086"/>
    <w:rsid w:val="00E543A6"/>
    <w:rsid w:val="00E60479"/>
    <w:rsid w:val="00E61D73"/>
    <w:rsid w:val="00E73684"/>
    <w:rsid w:val="00E775BA"/>
    <w:rsid w:val="00E818D6"/>
    <w:rsid w:val="00E87F7A"/>
    <w:rsid w:val="00E96BD7"/>
    <w:rsid w:val="00EA0DB1"/>
    <w:rsid w:val="00EA0EE9"/>
    <w:rsid w:val="00ED52CA"/>
    <w:rsid w:val="00ED5779"/>
    <w:rsid w:val="00ED5860"/>
    <w:rsid w:val="00EE35C9"/>
    <w:rsid w:val="00F05ECA"/>
    <w:rsid w:val="00F342DB"/>
    <w:rsid w:val="00F3566E"/>
    <w:rsid w:val="00F375FB"/>
    <w:rsid w:val="00F41AC1"/>
    <w:rsid w:val="00F4367A"/>
    <w:rsid w:val="00F445B1"/>
    <w:rsid w:val="00F45CD4"/>
    <w:rsid w:val="00F62D73"/>
    <w:rsid w:val="00F62F64"/>
    <w:rsid w:val="00F66DCA"/>
    <w:rsid w:val="00F74F53"/>
    <w:rsid w:val="00F7606D"/>
    <w:rsid w:val="00F81670"/>
    <w:rsid w:val="00F82024"/>
    <w:rsid w:val="00F83BCF"/>
    <w:rsid w:val="00F95BC9"/>
    <w:rsid w:val="00FA624C"/>
    <w:rsid w:val="00FC2863"/>
    <w:rsid w:val="00FC3CA7"/>
    <w:rsid w:val="00FD0FAC"/>
    <w:rsid w:val="00FD1DFA"/>
    <w:rsid w:val="00FD4966"/>
    <w:rsid w:val="00FD788A"/>
    <w:rsid w:val="00FE57DC"/>
    <w:rsid w:val="00FF2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121F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5Char">
    <w:name w:val="Heading 5 Char"/>
    <w:basedOn w:val="DefaultParagraphFont"/>
    <w:link w:val="Heading5"/>
    <w:rsid w:val="00121FFF"/>
    <w:rPr>
      <w:rFonts w:asciiTheme="majorHAnsi" w:eastAsiaTheme="majorEastAsia" w:hAnsiTheme="majorHAnsi" w:cstheme="majorBidi"/>
      <w:color w:val="243F60" w:themeColor="accent1" w:themeShade="7F"/>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FootnoteReference">
    <w:name w:val="footnote reference"/>
    <w:basedOn w:val="DefaultParagraphFont"/>
    <w:uiPriority w:val="99"/>
    <w:unhideWhenUsed/>
    <w:rsid w:val="00121FFF"/>
    <w:rPr>
      <w:vertAlign w:val="superscript"/>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numbering" w:customStyle="1" w:styleId="ImportedStyle1">
    <w:name w:val="Imported Style 1"/>
    <w:rsid w:val="00AF6685"/>
    <w:pPr>
      <w:numPr>
        <w:numId w:val="7"/>
      </w:numPr>
    </w:pPr>
  </w:style>
  <w:style w:type="numbering" w:customStyle="1" w:styleId="ImportedStyle11">
    <w:name w:val="Imported Style 11"/>
    <w:rsid w:val="00AF668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121F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5Char">
    <w:name w:val="Heading 5 Char"/>
    <w:basedOn w:val="DefaultParagraphFont"/>
    <w:link w:val="Heading5"/>
    <w:rsid w:val="00121FFF"/>
    <w:rPr>
      <w:rFonts w:asciiTheme="majorHAnsi" w:eastAsiaTheme="majorEastAsia" w:hAnsiTheme="majorHAnsi" w:cstheme="majorBidi"/>
      <w:color w:val="243F60" w:themeColor="accent1" w:themeShade="7F"/>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FootnoteReference">
    <w:name w:val="footnote reference"/>
    <w:basedOn w:val="DefaultParagraphFont"/>
    <w:uiPriority w:val="99"/>
    <w:unhideWhenUsed/>
    <w:rsid w:val="00121FFF"/>
    <w:rPr>
      <w:vertAlign w:val="superscript"/>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numbering" w:customStyle="1" w:styleId="ImportedStyle1">
    <w:name w:val="Imported Style 1"/>
    <w:rsid w:val="00AF6685"/>
    <w:pPr>
      <w:numPr>
        <w:numId w:val="7"/>
      </w:numPr>
    </w:pPr>
  </w:style>
  <w:style w:type="numbering" w:customStyle="1" w:styleId="ImportedStyle11">
    <w:name w:val="Imported Style 11"/>
    <w:rsid w:val="00AF668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120603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53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news/article/768/nominate_your_street_for_the_world_s_first_pop-up_electric_vehicle_charging_poi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news/article/479/oxford_city_council_sets_out_plans_to_install_500000_of_electric_vehicle_charging_points_for_taxi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xford.gov.uk/news/article/513/city_and_county_council_partnership_begins_programme_to_install_100_electric_vehicle_charging_stations_in_residential_stree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xford.gov.uk/news/article/672/oxford_city_council_wins_17m_to_introduce_oxford_s_first_fully-electric_double-decker_bus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ane\AppData\Local\Microsoft\Windows\Temporary%20Internet%20Files\Content.Outlook\T2FMLVT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4627-896D-483C-89BF-3A3FA7DC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136</TotalTime>
  <Pages>8</Pages>
  <Words>2408</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Tina.Mould</dc:creator>
  <cp:lastModifiedBy>JMitchell</cp:lastModifiedBy>
  <cp:revision>7</cp:revision>
  <cp:lastPrinted>2015-07-03T13:50:00Z</cp:lastPrinted>
  <dcterms:created xsi:type="dcterms:W3CDTF">2019-03-13T12:45:00Z</dcterms:created>
  <dcterms:modified xsi:type="dcterms:W3CDTF">2019-04-03T13:34:00Z</dcterms:modified>
</cp:coreProperties>
</file>